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F8C93" w14:textId="55479175" w:rsidR="0027218A" w:rsidRPr="00661D24" w:rsidRDefault="00BE2E6D" w:rsidP="00661D24">
      <w:pPr>
        <w:pStyle w:val="Ttulo1"/>
        <w:rPr>
          <w:noProof/>
          <w:lang w:val="es-ES"/>
        </w:rPr>
      </w:pPr>
      <w:r>
        <w:rPr>
          <w:noProof/>
          <w:lang w:val="es-UY" w:eastAsia="es-UY"/>
        </w:rPr>
        <w:drawing>
          <wp:anchor distT="0" distB="0" distL="114300" distR="114300" simplePos="0" relativeHeight="251660288" behindDoc="0" locked="0" layoutInCell="1" allowOverlap="1" wp14:anchorId="341A7EB9" wp14:editId="1CF1759F">
            <wp:simplePos x="0" y="0"/>
            <wp:positionH relativeFrom="column">
              <wp:posOffset>3187700</wp:posOffset>
            </wp:positionH>
            <wp:positionV relativeFrom="paragraph">
              <wp:posOffset>127000</wp:posOffset>
            </wp:positionV>
            <wp:extent cx="2813050" cy="794385"/>
            <wp:effectExtent l="0" t="0" r="0" b="571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/>
                  </pic:nvPicPr>
                  <pic:blipFill rotWithShape="1">
                    <a:blip r:embed="rId6"/>
                    <a:srcRect t="16086" b="16890"/>
                    <a:stretch/>
                  </pic:blipFill>
                  <pic:spPr bwMode="auto">
                    <a:xfrm>
                      <a:off x="0" y="0"/>
                      <a:ext cx="2813050" cy="794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61D24" w:rsidRPr="0027218A">
        <w:rPr>
          <w:noProof/>
          <w:lang w:val="es-UY" w:eastAsia="es-UY"/>
        </w:rPr>
        <w:drawing>
          <wp:anchor distT="0" distB="0" distL="114300" distR="114300" simplePos="0" relativeHeight="251658240" behindDoc="0" locked="0" layoutInCell="1" allowOverlap="1" wp14:anchorId="7F7F5288" wp14:editId="70F47039">
            <wp:simplePos x="0" y="0"/>
            <wp:positionH relativeFrom="column">
              <wp:posOffset>114300</wp:posOffset>
            </wp:positionH>
            <wp:positionV relativeFrom="paragraph">
              <wp:posOffset>184150</wp:posOffset>
            </wp:positionV>
            <wp:extent cx="2695575" cy="771525"/>
            <wp:effectExtent l="0" t="0" r="0" b="0"/>
            <wp:wrapSquare wrapText="bothSides"/>
            <wp:docPr id="4" name="ctl00_x5700f3b5d14c480db478e842bd61f803" descr="Por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tl00_x5700f3b5d14c480db478e842bd61f803" descr="Portada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16D485" w14:textId="2CE3D898" w:rsidR="00661D24" w:rsidRDefault="00661D24" w:rsidP="00661D24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24"/>
          <w:szCs w:val="24"/>
          <w:lang w:val="es-ES" w:eastAsia="es-UY"/>
        </w:rPr>
      </w:pPr>
      <w:r w:rsidRPr="00661D24">
        <w:rPr>
          <w:rFonts w:ascii="Arial" w:eastAsia="Times New Roman" w:hAnsi="Arial" w:cs="Arial"/>
          <w:b/>
          <w:bCs/>
          <w:sz w:val="24"/>
          <w:szCs w:val="24"/>
          <w:lang w:val="es-ES" w:eastAsia="es-UY"/>
        </w:rPr>
        <w:t>Comunicado del Comité de Coordinación de Deuda Pública</w:t>
      </w:r>
    </w:p>
    <w:p w14:paraId="3BF916BC" w14:textId="77777777" w:rsidR="00661D24" w:rsidRPr="00661D24" w:rsidRDefault="00661D24" w:rsidP="00661D24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24"/>
          <w:szCs w:val="24"/>
          <w:lang w:val="es-ES" w:eastAsia="es-UY"/>
        </w:rPr>
      </w:pPr>
    </w:p>
    <w:p w14:paraId="530117A8" w14:textId="3C73F468" w:rsidR="0027218A" w:rsidRDefault="00466A26" w:rsidP="003F63F5">
      <w:pPr>
        <w:spacing w:line="360" w:lineRule="auto"/>
        <w:jc w:val="both"/>
        <w:rPr>
          <w:rFonts w:ascii="Arial" w:eastAsia="Calibri" w:hAnsi="Arial" w:cs="Arial"/>
          <w:lang w:val="es-UY"/>
        </w:rPr>
      </w:pPr>
      <w:r w:rsidRPr="0027218A">
        <w:rPr>
          <w:rFonts w:ascii="Arial" w:eastAsia="Calibri" w:hAnsi="Arial" w:cs="Arial"/>
          <w:lang w:val="es-UY"/>
        </w:rPr>
        <w:t xml:space="preserve">El </w:t>
      </w:r>
      <w:r w:rsidR="00617118">
        <w:rPr>
          <w:rFonts w:ascii="Arial" w:eastAsia="Calibri" w:hAnsi="Arial" w:cs="Arial"/>
          <w:lang w:val="es-UY"/>
        </w:rPr>
        <w:t>29</w:t>
      </w:r>
      <w:r w:rsidRPr="0027218A">
        <w:rPr>
          <w:rFonts w:ascii="Arial" w:eastAsia="Calibri" w:hAnsi="Arial" w:cs="Arial"/>
          <w:lang w:val="es-UY"/>
        </w:rPr>
        <w:t xml:space="preserve"> de </w:t>
      </w:r>
      <w:r w:rsidR="00617118">
        <w:rPr>
          <w:rFonts w:ascii="Arial" w:eastAsia="Calibri" w:hAnsi="Arial" w:cs="Arial"/>
          <w:lang w:val="es-UY"/>
        </w:rPr>
        <w:t xml:space="preserve">setiembre </w:t>
      </w:r>
      <w:r w:rsidRPr="0027218A">
        <w:rPr>
          <w:rFonts w:ascii="Arial" w:eastAsia="Calibri" w:hAnsi="Arial" w:cs="Arial"/>
          <w:lang w:val="es-UY"/>
        </w:rPr>
        <w:t xml:space="preserve">de 2025 se reunió el Comité de Coordinación de Deuda Pública (CCDP), integrado por </w:t>
      </w:r>
      <w:r w:rsidR="009B5A21">
        <w:rPr>
          <w:rFonts w:ascii="Arial" w:eastAsia="Calibri" w:hAnsi="Arial" w:cs="Arial"/>
          <w:lang w:val="es-UY"/>
        </w:rPr>
        <w:t>el</w:t>
      </w:r>
      <w:r w:rsidRPr="0027218A">
        <w:rPr>
          <w:rFonts w:ascii="Arial" w:eastAsia="Calibri" w:hAnsi="Arial" w:cs="Arial"/>
          <w:lang w:val="es-UY"/>
        </w:rPr>
        <w:t xml:space="preserve"> Ministerio de Economía y Finanzas (MEF)</w:t>
      </w:r>
      <w:r w:rsidR="009B5A21">
        <w:rPr>
          <w:rFonts w:ascii="Arial" w:eastAsia="Calibri" w:hAnsi="Arial" w:cs="Arial"/>
          <w:lang w:val="es-UY"/>
        </w:rPr>
        <w:t xml:space="preserve"> y</w:t>
      </w:r>
      <w:r w:rsidRPr="0027218A">
        <w:rPr>
          <w:rFonts w:ascii="Arial" w:eastAsia="Calibri" w:hAnsi="Arial" w:cs="Arial"/>
          <w:lang w:val="es-UY"/>
        </w:rPr>
        <w:t xml:space="preserve"> el Banco Central del Uruguay (BCU)</w:t>
      </w:r>
      <w:r w:rsidR="009B5A21">
        <w:rPr>
          <w:rFonts w:ascii="Arial" w:eastAsia="Calibri" w:hAnsi="Arial" w:cs="Arial"/>
          <w:lang w:val="es-UY"/>
        </w:rPr>
        <w:t>.</w:t>
      </w:r>
    </w:p>
    <w:p w14:paraId="1E44B43D" w14:textId="234869FB" w:rsidR="00C1403E" w:rsidRPr="00C1403E" w:rsidRDefault="005C4ECB" w:rsidP="00C1403E">
      <w:pPr>
        <w:spacing w:line="360" w:lineRule="auto"/>
        <w:jc w:val="both"/>
        <w:rPr>
          <w:rFonts w:ascii="Arial" w:eastAsia="Calibri" w:hAnsi="Arial" w:cs="Arial"/>
          <w:lang w:val="es-UY"/>
        </w:rPr>
      </w:pPr>
      <w:r>
        <w:rPr>
          <w:rFonts w:ascii="Arial" w:eastAsia="Calibri" w:hAnsi="Arial" w:cs="Arial"/>
          <w:lang w:val="es-UY"/>
        </w:rPr>
        <w:t>En esta oportunidad e</w:t>
      </w:r>
      <w:r w:rsidR="00C1403E" w:rsidRPr="00C1403E">
        <w:rPr>
          <w:rFonts w:ascii="Arial" w:eastAsia="Calibri" w:hAnsi="Arial" w:cs="Arial"/>
          <w:lang w:val="es-UY"/>
        </w:rPr>
        <w:t xml:space="preserve">l </w:t>
      </w:r>
      <w:r w:rsidR="00042384">
        <w:rPr>
          <w:rFonts w:ascii="Arial" w:eastAsia="Calibri" w:hAnsi="Arial" w:cs="Arial"/>
          <w:lang w:val="es-UY"/>
        </w:rPr>
        <w:t>CCDP</w:t>
      </w:r>
      <w:r w:rsidR="00C1403E" w:rsidRPr="00C1403E">
        <w:rPr>
          <w:rFonts w:ascii="Arial" w:eastAsia="Calibri" w:hAnsi="Arial" w:cs="Arial"/>
          <w:lang w:val="es-UY"/>
        </w:rPr>
        <w:t xml:space="preserve"> </w:t>
      </w:r>
      <w:r w:rsidR="0021444A">
        <w:rPr>
          <w:rFonts w:ascii="Arial" w:eastAsia="Calibri" w:hAnsi="Arial" w:cs="Arial"/>
          <w:lang w:val="es-UY"/>
        </w:rPr>
        <w:t>evalu</w:t>
      </w:r>
      <w:r>
        <w:rPr>
          <w:rFonts w:ascii="Arial" w:eastAsia="Calibri" w:hAnsi="Arial" w:cs="Arial"/>
          <w:lang w:val="es-UY"/>
        </w:rPr>
        <w:t>ó</w:t>
      </w:r>
      <w:r w:rsidR="00C1403E" w:rsidRPr="00C1403E">
        <w:rPr>
          <w:rFonts w:ascii="Arial" w:eastAsia="Calibri" w:hAnsi="Arial" w:cs="Arial"/>
          <w:lang w:val="es-UY"/>
        </w:rPr>
        <w:t xml:space="preserve"> las condiciones prevalecientes en los mercados primario y secundario de valores públicos, tanto en el ámbito doméstico como internacional.</w:t>
      </w:r>
    </w:p>
    <w:p w14:paraId="1D2797E5" w14:textId="2C168E63" w:rsidR="00C1403E" w:rsidRDefault="00C1403E" w:rsidP="00C1403E">
      <w:pPr>
        <w:spacing w:line="360" w:lineRule="auto"/>
        <w:jc w:val="both"/>
        <w:rPr>
          <w:rFonts w:ascii="Arial" w:eastAsia="Calibri" w:hAnsi="Arial" w:cs="Arial"/>
          <w:lang w:val="es-UY"/>
        </w:rPr>
      </w:pPr>
      <w:r w:rsidRPr="00C1403E">
        <w:rPr>
          <w:rFonts w:ascii="Arial" w:eastAsia="Calibri" w:hAnsi="Arial" w:cs="Arial"/>
          <w:lang w:val="es-UY"/>
        </w:rPr>
        <w:t xml:space="preserve">Se </w:t>
      </w:r>
      <w:r w:rsidR="0021444A">
        <w:rPr>
          <w:rFonts w:ascii="Arial" w:eastAsia="Calibri" w:hAnsi="Arial" w:cs="Arial"/>
          <w:lang w:val="es-UY"/>
        </w:rPr>
        <w:t>analiz</w:t>
      </w:r>
      <w:r w:rsidR="00A73D22">
        <w:rPr>
          <w:rFonts w:ascii="Arial" w:eastAsia="Calibri" w:hAnsi="Arial" w:cs="Arial"/>
          <w:lang w:val="es-UY"/>
        </w:rPr>
        <w:t xml:space="preserve">ó la evolución de </w:t>
      </w:r>
      <w:r w:rsidRPr="00C1403E">
        <w:rPr>
          <w:rFonts w:ascii="Arial" w:eastAsia="Calibri" w:hAnsi="Arial" w:cs="Arial"/>
          <w:lang w:val="es-UY"/>
        </w:rPr>
        <w:t xml:space="preserve">las curvas de rendimientos soberanas en pesos uruguayos (UYU) y unidades indexadas (UI), observándose </w:t>
      </w:r>
      <w:r w:rsidR="00A66343">
        <w:rPr>
          <w:rFonts w:ascii="Arial" w:eastAsia="Calibri" w:hAnsi="Arial" w:cs="Arial"/>
          <w:lang w:val="es-UY"/>
        </w:rPr>
        <w:t>una reducción de los rendimientos de los títulos públicos, en particular de los títulos en pesos uruguayos</w:t>
      </w:r>
      <w:r w:rsidR="00E17814">
        <w:rPr>
          <w:rFonts w:ascii="Arial" w:eastAsia="Calibri" w:hAnsi="Arial" w:cs="Arial"/>
          <w:lang w:val="es-UY"/>
        </w:rPr>
        <w:t xml:space="preserve"> a corto y mediano plazo</w:t>
      </w:r>
      <w:r w:rsidR="00F22B39">
        <w:rPr>
          <w:rFonts w:ascii="Arial" w:eastAsia="Calibri" w:hAnsi="Arial" w:cs="Arial"/>
          <w:lang w:val="es-UY"/>
        </w:rPr>
        <w:t>,</w:t>
      </w:r>
      <w:r w:rsidR="00A66343">
        <w:rPr>
          <w:rFonts w:ascii="Arial" w:eastAsia="Calibri" w:hAnsi="Arial" w:cs="Arial"/>
          <w:lang w:val="es-UY"/>
        </w:rPr>
        <w:t xml:space="preserve"> consistente con la baja de la</w:t>
      </w:r>
      <w:r w:rsidR="00042384">
        <w:rPr>
          <w:rFonts w:ascii="Arial" w:eastAsia="Calibri" w:hAnsi="Arial" w:cs="Arial"/>
          <w:lang w:val="es-UY"/>
        </w:rPr>
        <w:t xml:space="preserve"> inflación y la</w:t>
      </w:r>
      <w:r w:rsidR="00A66343">
        <w:rPr>
          <w:rFonts w:ascii="Arial" w:eastAsia="Calibri" w:hAnsi="Arial" w:cs="Arial"/>
          <w:lang w:val="es-UY"/>
        </w:rPr>
        <w:t>s expectativas de inflación</w:t>
      </w:r>
      <w:r w:rsidR="00A73D22">
        <w:rPr>
          <w:rFonts w:ascii="Arial" w:eastAsia="Calibri" w:hAnsi="Arial" w:cs="Arial"/>
          <w:lang w:val="es-UY"/>
        </w:rPr>
        <w:t xml:space="preserve"> en Uruguay</w:t>
      </w:r>
      <w:r w:rsidR="00042384">
        <w:rPr>
          <w:rFonts w:ascii="Arial" w:eastAsia="Calibri" w:hAnsi="Arial" w:cs="Arial"/>
          <w:lang w:val="es-UY"/>
        </w:rPr>
        <w:t>, así como del sostenido debilitamiento del dólar a nivel global</w:t>
      </w:r>
      <w:r w:rsidR="00A66343">
        <w:rPr>
          <w:rFonts w:ascii="Arial" w:eastAsia="Calibri" w:hAnsi="Arial" w:cs="Arial"/>
          <w:lang w:val="es-UY"/>
        </w:rPr>
        <w:t>.</w:t>
      </w:r>
    </w:p>
    <w:p w14:paraId="5F96F8FA" w14:textId="6CA7908F" w:rsidR="001044B1" w:rsidRDefault="0021444A" w:rsidP="00C1403E">
      <w:pPr>
        <w:spacing w:line="360" w:lineRule="auto"/>
        <w:jc w:val="both"/>
        <w:rPr>
          <w:rFonts w:ascii="Arial" w:eastAsia="Calibri" w:hAnsi="Arial" w:cs="Arial"/>
          <w:lang w:val="es-UY"/>
        </w:rPr>
      </w:pPr>
      <w:r>
        <w:rPr>
          <w:rFonts w:ascii="Arial" w:eastAsia="Calibri" w:hAnsi="Arial" w:cs="Arial"/>
          <w:lang w:val="es-UY"/>
        </w:rPr>
        <w:t xml:space="preserve">Considerando una visión integral de manejo de activos y pasivos del sector público, y dado el programa de financiamiento del </w:t>
      </w:r>
      <w:r w:rsidRPr="00C1403E">
        <w:rPr>
          <w:rFonts w:ascii="Arial" w:eastAsia="Calibri" w:hAnsi="Arial" w:cs="Arial"/>
          <w:lang w:val="es-UY"/>
        </w:rPr>
        <w:t xml:space="preserve">Gobierno </w:t>
      </w:r>
      <w:r>
        <w:rPr>
          <w:rFonts w:ascii="Arial" w:eastAsia="Calibri" w:hAnsi="Arial" w:cs="Arial"/>
          <w:lang w:val="es-UY"/>
        </w:rPr>
        <w:t xml:space="preserve">y el mandato y objetivos de política monetaria del </w:t>
      </w:r>
      <w:r w:rsidRPr="00C1403E">
        <w:rPr>
          <w:rFonts w:ascii="Arial" w:eastAsia="Calibri" w:hAnsi="Arial" w:cs="Arial"/>
          <w:lang w:val="es-UY"/>
        </w:rPr>
        <w:t>BCU</w:t>
      </w:r>
      <w:r>
        <w:rPr>
          <w:rFonts w:ascii="Arial" w:eastAsia="Calibri" w:hAnsi="Arial" w:cs="Arial"/>
          <w:lang w:val="es-UY"/>
        </w:rPr>
        <w:t xml:space="preserve">, el </w:t>
      </w:r>
      <w:r w:rsidR="001044B1">
        <w:rPr>
          <w:rFonts w:ascii="Arial" w:eastAsia="Calibri" w:hAnsi="Arial" w:cs="Arial"/>
          <w:lang w:val="es-UY"/>
        </w:rPr>
        <w:t xml:space="preserve">CCDP </w:t>
      </w:r>
      <w:r w:rsidR="00A73D22">
        <w:rPr>
          <w:rFonts w:ascii="Arial" w:eastAsia="Calibri" w:hAnsi="Arial" w:cs="Arial"/>
          <w:lang w:val="es-UY"/>
        </w:rPr>
        <w:t xml:space="preserve">evaluó </w:t>
      </w:r>
      <w:r w:rsidR="00C1403E" w:rsidRPr="00C1403E">
        <w:rPr>
          <w:rFonts w:ascii="Arial" w:eastAsia="Calibri" w:hAnsi="Arial" w:cs="Arial"/>
          <w:lang w:val="es-UY"/>
        </w:rPr>
        <w:t>el proceso de sustitución gradual de</w:t>
      </w:r>
      <w:r w:rsidR="00A73D22">
        <w:rPr>
          <w:rFonts w:ascii="Arial" w:eastAsia="Calibri" w:hAnsi="Arial" w:cs="Arial"/>
          <w:lang w:val="es-UY"/>
        </w:rPr>
        <w:t>l stock</w:t>
      </w:r>
      <w:r w:rsidR="00C1403E" w:rsidRPr="00C1403E">
        <w:rPr>
          <w:rFonts w:ascii="Arial" w:eastAsia="Calibri" w:hAnsi="Arial" w:cs="Arial"/>
          <w:lang w:val="es-UY"/>
        </w:rPr>
        <w:t xml:space="preserve"> </w:t>
      </w:r>
      <w:r w:rsidR="00A73D22">
        <w:rPr>
          <w:rFonts w:ascii="Arial" w:eastAsia="Calibri" w:hAnsi="Arial" w:cs="Arial"/>
          <w:lang w:val="es-UY"/>
        </w:rPr>
        <w:t xml:space="preserve">de </w:t>
      </w:r>
      <w:r w:rsidR="00C1403E" w:rsidRPr="00C1403E">
        <w:rPr>
          <w:rFonts w:ascii="Arial" w:eastAsia="Calibri" w:hAnsi="Arial" w:cs="Arial"/>
          <w:lang w:val="es-UY"/>
        </w:rPr>
        <w:t xml:space="preserve">Letras de Regulación Monetaria (LRM) por instrumentos de deuda </w:t>
      </w:r>
      <w:r w:rsidR="00143B09">
        <w:rPr>
          <w:rFonts w:ascii="Arial" w:eastAsia="Calibri" w:hAnsi="Arial" w:cs="Arial"/>
          <w:lang w:val="es-UY"/>
        </w:rPr>
        <w:t xml:space="preserve">del </w:t>
      </w:r>
      <w:r w:rsidR="00445F0B">
        <w:rPr>
          <w:rFonts w:ascii="Arial" w:eastAsia="Calibri" w:hAnsi="Arial" w:cs="Arial"/>
          <w:lang w:val="es-UY"/>
        </w:rPr>
        <w:t>Gobierno</w:t>
      </w:r>
      <w:r w:rsidR="001044B1">
        <w:rPr>
          <w:rFonts w:ascii="Arial" w:eastAsia="Calibri" w:hAnsi="Arial" w:cs="Arial"/>
          <w:lang w:val="es-UY"/>
        </w:rPr>
        <w:t>, en el último año y medio</w:t>
      </w:r>
      <w:r w:rsidR="00C1403E" w:rsidRPr="00C1403E">
        <w:rPr>
          <w:rFonts w:ascii="Arial" w:eastAsia="Calibri" w:hAnsi="Arial" w:cs="Arial"/>
          <w:lang w:val="es-UY"/>
        </w:rPr>
        <w:t>.</w:t>
      </w:r>
    </w:p>
    <w:p w14:paraId="6049EABA" w14:textId="2D5085DC" w:rsidR="00445F0B" w:rsidRDefault="001044B1" w:rsidP="00445F0B">
      <w:pPr>
        <w:spacing w:line="360" w:lineRule="auto"/>
        <w:jc w:val="both"/>
        <w:rPr>
          <w:rFonts w:ascii="Arial" w:eastAsia="Calibri" w:hAnsi="Arial" w:cs="Arial"/>
          <w:lang w:val="es-UY"/>
        </w:rPr>
      </w:pPr>
      <w:r>
        <w:rPr>
          <w:rFonts w:ascii="Arial" w:eastAsia="Calibri" w:hAnsi="Arial" w:cs="Arial"/>
          <w:lang w:val="es-UY"/>
        </w:rPr>
        <w:t xml:space="preserve">En particular, en los últimos </w:t>
      </w:r>
      <w:r w:rsidRPr="000F6530">
        <w:rPr>
          <w:rFonts w:ascii="Arial" w:eastAsia="Calibri" w:hAnsi="Arial" w:cs="Arial"/>
          <w:lang w:val="es-UY"/>
        </w:rPr>
        <w:t>tres</w:t>
      </w:r>
      <w:r>
        <w:rPr>
          <w:rFonts w:ascii="Arial" w:eastAsia="Calibri" w:hAnsi="Arial" w:cs="Arial"/>
          <w:lang w:val="es-UY"/>
        </w:rPr>
        <w:t xml:space="preserve"> meses, e</w:t>
      </w:r>
      <w:r w:rsidR="006E73B1" w:rsidRPr="00A73D22">
        <w:rPr>
          <w:rFonts w:ascii="Arial" w:eastAsia="Calibri" w:hAnsi="Arial" w:cs="Arial"/>
          <w:lang w:val="es-UY"/>
        </w:rPr>
        <w:t xml:space="preserve">ste proceso </w:t>
      </w:r>
      <w:r>
        <w:rPr>
          <w:rFonts w:ascii="Arial" w:eastAsia="Calibri" w:hAnsi="Arial" w:cs="Arial"/>
          <w:lang w:val="es-UY"/>
        </w:rPr>
        <w:t xml:space="preserve">de sustitución de deuda al interior del balance del sector público </w:t>
      </w:r>
      <w:r w:rsidR="0021444A">
        <w:rPr>
          <w:rFonts w:ascii="Arial" w:eastAsia="Calibri" w:hAnsi="Arial" w:cs="Arial"/>
          <w:lang w:val="es-UY"/>
        </w:rPr>
        <w:t>consolidado</w:t>
      </w:r>
      <w:r>
        <w:rPr>
          <w:rFonts w:ascii="Arial" w:eastAsia="Calibri" w:hAnsi="Arial" w:cs="Arial"/>
          <w:lang w:val="es-UY"/>
        </w:rPr>
        <w:t xml:space="preserve">, ha sido </w:t>
      </w:r>
      <w:r w:rsidR="006E73B1" w:rsidRPr="00A73D22">
        <w:rPr>
          <w:rFonts w:ascii="Arial" w:eastAsia="Calibri" w:hAnsi="Arial" w:cs="Arial"/>
          <w:lang w:val="es-UY"/>
        </w:rPr>
        <w:t>potenciado por</w:t>
      </w:r>
      <w:r w:rsidR="00445F0B">
        <w:rPr>
          <w:rFonts w:ascii="Arial" w:eastAsia="Calibri" w:hAnsi="Arial" w:cs="Arial"/>
          <w:lang w:val="es-UY"/>
        </w:rPr>
        <w:t>:</w:t>
      </w:r>
    </w:p>
    <w:p w14:paraId="6C17BC05" w14:textId="7361A7AC" w:rsidR="00445F0B" w:rsidRDefault="0021444A" w:rsidP="00445F0B">
      <w:pPr>
        <w:pStyle w:val="Prrafodelista"/>
        <w:numPr>
          <w:ilvl w:val="0"/>
          <w:numId w:val="12"/>
        </w:numPr>
        <w:spacing w:line="360" w:lineRule="auto"/>
        <w:ind w:left="709" w:hanging="425"/>
        <w:jc w:val="both"/>
        <w:rPr>
          <w:rFonts w:ascii="Arial" w:eastAsia="Calibri" w:hAnsi="Arial" w:cs="Arial"/>
          <w:lang w:val="es-UY"/>
        </w:rPr>
      </w:pPr>
      <w:r w:rsidRPr="00556AFF">
        <w:rPr>
          <w:rFonts w:ascii="Arial" w:eastAsia="Calibri" w:hAnsi="Arial" w:cs="Arial"/>
          <w:lang w:val="es-UY"/>
        </w:rPr>
        <w:t xml:space="preserve">la reducción </w:t>
      </w:r>
      <w:r w:rsidR="00445F0B" w:rsidRPr="00556AFF">
        <w:rPr>
          <w:rFonts w:ascii="Arial" w:eastAsia="Calibri" w:hAnsi="Arial" w:cs="Arial"/>
          <w:lang w:val="es-UY"/>
        </w:rPr>
        <w:t xml:space="preserve">del volumen de emisiones de instrumentos </w:t>
      </w:r>
      <w:r w:rsidR="006E73B1" w:rsidRPr="00556AFF">
        <w:rPr>
          <w:rFonts w:ascii="Arial" w:eastAsia="Calibri" w:hAnsi="Arial" w:cs="Arial"/>
          <w:lang w:val="es-UY"/>
        </w:rPr>
        <w:t xml:space="preserve">del BCU </w:t>
      </w:r>
      <w:r w:rsidR="00A73D22" w:rsidRPr="00556AFF">
        <w:rPr>
          <w:rFonts w:ascii="Arial" w:eastAsia="Calibri" w:hAnsi="Arial" w:cs="Arial"/>
          <w:lang w:val="es-UY"/>
        </w:rPr>
        <w:t xml:space="preserve">en el plazo más </w:t>
      </w:r>
      <w:r w:rsidR="00CB5BA4">
        <w:rPr>
          <w:rFonts w:ascii="Arial" w:eastAsia="Calibri" w:hAnsi="Arial" w:cs="Arial"/>
          <w:lang w:val="es-UY"/>
        </w:rPr>
        <w:t>largo</w:t>
      </w:r>
      <w:r w:rsidR="00CB5BA4" w:rsidRPr="00556AFF">
        <w:rPr>
          <w:rFonts w:ascii="Arial" w:eastAsia="Calibri" w:hAnsi="Arial" w:cs="Arial"/>
          <w:lang w:val="es-UY"/>
        </w:rPr>
        <w:t xml:space="preserve"> </w:t>
      </w:r>
      <w:r w:rsidR="00A73D22" w:rsidRPr="00556AFF">
        <w:rPr>
          <w:rFonts w:ascii="Arial" w:eastAsia="Calibri" w:hAnsi="Arial" w:cs="Arial"/>
          <w:lang w:val="es-UY"/>
        </w:rPr>
        <w:t xml:space="preserve">de </w:t>
      </w:r>
      <w:r w:rsidR="001044B1" w:rsidRPr="00556AFF">
        <w:rPr>
          <w:rFonts w:ascii="Arial" w:eastAsia="Calibri" w:hAnsi="Arial" w:cs="Arial"/>
          <w:lang w:val="es-UY"/>
        </w:rPr>
        <w:t xml:space="preserve">las licitaciones de </w:t>
      </w:r>
      <w:r w:rsidR="00A73D22" w:rsidRPr="00556AFF">
        <w:rPr>
          <w:rFonts w:ascii="Arial" w:eastAsia="Calibri" w:hAnsi="Arial" w:cs="Arial"/>
          <w:lang w:val="es-UY"/>
        </w:rPr>
        <w:t>Letras (en el nodo a 1 año)</w:t>
      </w:r>
      <w:r w:rsidR="00143B09">
        <w:rPr>
          <w:rFonts w:ascii="Arial" w:eastAsia="Calibri" w:hAnsi="Arial" w:cs="Arial"/>
          <w:lang w:val="es-UY"/>
        </w:rPr>
        <w:t>,</w:t>
      </w:r>
      <w:r w:rsidR="006E73B1" w:rsidRPr="00556AFF">
        <w:rPr>
          <w:rFonts w:ascii="Arial" w:eastAsia="Calibri" w:hAnsi="Arial" w:cs="Arial"/>
          <w:lang w:val="es-UY"/>
        </w:rPr>
        <w:t xml:space="preserve"> y un aumento</w:t>
      </w:r>
      <w:r w:rsidR="007B2CF2">
        <w:rPr>
          <w:rFonts w:ascii="Arial" w:eastAsia="Calibri" w:hAnsi="Arial" w:cs="Arial"/>
          <w:lang w:val="es-UY"/>
        </w:rPr>
        <w:t xml:space="preserve"> </w:t>
      </w:r>
      <w:r w:rsidR="00A73D22" w:rsidRPr="00556AFF">
        <w:rPr>
          <w:rFonts w:ascii="Arial" w:eastAsia="Calibri" w:hAnsi="Arial" w:cs="Arial"/>
          <w:lang w:val="es-UY"/>
        </w:rPr>
        <w:t xml:space="preserve">en el volumen de emisiones de Notas de Tesorería </w:t>
      </w:r>
      <w:r w:rsidR="006E73B1" w:rsidRPr="00556AFF">
        <w:rPr>
          <w:rFonts w:ascii="Arial" w:eastAsia="Calibri" w:hAnsi="Arial" w:cs="Arial"/>
          <w:lang w:val="es-UY"/>
        </w:rPr>
        <w:t xml:space="preserve">en el tramo más corto de </w:t>
      </w:r>
      <w:r w:rsidR="00445F0B" w:rsidRPr="00556AFF">
        <w:rPr>
          <w:rFonts w:ascii="Arial" w:eastAsia="Calibri" w:hAnsi="Arial" w:cs="Arial"/>
          <w:lang w:val="es-UY"/>
        </w:rPr>
        <w:t xml:space="preserve">las </w:t>
      </w:r>
      <w:r w:rsidR="006E73B1" w:rsidRPr="00556AFF">
        <w:rPr>
          <w:rFonts w:ascii="Arial" w:eastAsia="Calibri" w:hAnsi="Arial" w:cs="Arial"/>
          <w:lang w:val="es-UY"/>
        </w:rPr>
        <w:t>emisiones</w:t>
      </w:r>
      <w:r w:rsidR="00A73D22" w:rsidRPr="00556AFF">
        <w:rPr>
          <w:rFonts w:ascii="Arial" w:eastAsia="Calibri" w:hAnsi="Arial" w:cs="Arial"/>
          <w:lang w:val="es-UY"/>
        </w:rPr>
        <w:t xml:space="preserve"> domésticas (en el plazo cercano a 2 años y medio de plazo)</w:t>
      </w:r>
      <w:r w:rsidR="006E73B1" w:rsidRPr="00556AFF">
        <w:rPr>
          <w:rFonts w:ascii="Arial" w:eastAsia="Calibri" w:hAnsi="Arial" w:cs="Arial"/>
          <w:lang w:val="es-UY"/>
        </w:rPr>
        <w:t xml:space="preserve">, </w:t>
      </w:r>
    </w:p>
    <w:p w14:paraId="51A5752B" w14:textId="4363AF86" w:rsidR="00C1403E" w:rsidRPr="00556AFF" w:rsidRDefault="001044B1" w:rsidP="00556AFF">
      <w:pPr>
        <w:pStyle w:val="Prrafodelista"/>
        <w:numPr>
          <w:ilvl w:val="0"/>
          <w:numId w:val="12"/>
        </w:numPr>
        <w:spacing w:line="360" w:lineRule="auto"/>
        <w:ind w:left="709" w:hanging="425"/>
        <w:jc w:val="both"/>
        <w:rPr>
          <w:rFonts w:ascii="Arial" w:eastAsia="Calibri" w:hAnsi="Arial" w:cs="Arial"/>
          <w:lang w:val="es-UY"/>
        </w:rPr>
      </w:pPr>
      <w:r w:rsidRPr="00556AFF">
        <w:rPr>
          <w:rFonts w:ascii="Arial" w:eastAsia="Calibri" w:hAnsi="Arial" w:cs="Arial"/>
          <w:lang w:val="es-UY"/>
        </w:rPr>
        <w:t xml:space="preserve">operaciones de </w:t>
      </w:r>
      <w:r w:rsidR="006E73B1" w:rsidRPr="00556AFF">
        <w:rPr>
          <w:rFonts w:ascii="Arial" w:eastAsia="Calibri" w:hAnsi="Arial" w:cs="Arial"/>
          <w:lang w:val="es-UY"/>
        </w:rPr>
        <w:t xml:space="preserve">canje </w:t>
      </w:r>
      <w:r w:rsidR="00A73D22" w:rsidRPr="00556AFF">
        <w:rPr>
          <w:rFonts w:ascii="Arial" w:eastAsia="Calibri" w:hAnsi="Arial" w:cs="Arial"/>
          <w:lang w:val="es-UY"/>
        </w:rPr>
        <w:t>(</w:t>
      </w:r>
      <w:r w:rsidR="00445F0B">
        <w:rPr>
          <w:rFonts w:ascii="Arial" w:eastAsia="Calibri" w:hAnsi="Arial" w:cs="Arial"/>
          <w:lang w:val="es-UY"/>
        </w:rPr>
        <w:t xml:space="preserve">incluyendo la </w:t>
      </w:r>
      <w:r w:rsidR="00A73D22" w:rsidRPr="00556AFF">
        <w:rPr>
          <w:rFonts w:ascii="Arial" w:eastAsia="Calibri" w:hAnsi="Arial" w:cs="Arial"/>
          <w:lang w:val="es-UY"/>
        </w:rPr>
        <w:t>integración con títulos elegibles de LRM) en las emisiones domésticas del gobierno</w:t>
      </w:r>
      <w:r w:rsidR="00042384" w:rsidRPr="00556AFF">
        <w:rPr>
          <w:rFonts w:ascii="Arial" w:eastAsia="Calibri" w:hAnsi="Arial" w:cs="Arial"/>
          <w:lang w:val="es-UY"/>
        </w:rPr>
        <w:t>.</w:t>
      </w:r>
      <w:r w:rsidR="006E73B1" w:rsidRPr="00556AFF">
        <w:rPr>
          <w:rFonts w:ascii="Arial" w:eastAsia="Calibri" w:hAnsi="Arial" w:cs="Arial"/>
          <w:lang w:val="es-UY"/>
        </w:rPr>
        <w:t xml:space="preserve"> </w:t>
      </w:r>
    </w:p>
    <w:p w14:paraId="1E4192A9" w14:textId="1AA66FB4" w:rsidR="00782E60" w:rsidRDefault="00C1403E" w:rsidP="007B2CF2">
      <w:pPr>
        <w:spacing w:line="360" w:lineRule="auto"/>
        <w:jc w:val="both"/>
        <w:rPr>
          <w:rFonts w:ascii="Arial" w:eastAsia="Times New Roman" w:hAnsi="Arial" w:cs="Arial"/>
          <w:bCs/>
          <w:lang w:val="es-UY" w:eastAsia="es-UY"/>
        </w:rPr>
      </w:pPr>
      <w:r w:rsidRPr="00C1403E">
        <w:rPr>
          <w:rFonts w:ascii="Arial" w:eastAsia="Calibri" w:hAnsi="Arial" w:cs="Arial"/>
          <w:lang w:val="es-UY"/>
        </w:rPr>
        <w:lastRenderedPageBreak/>
        <w:t xml:space="preserve">El Comité valoró positivamente los resultados </w:t>
      </w:r>
      <w:r w:rsidR="00445F0B">
        <w:rPr>
          <w:rFonts w:ascii="Arial" w:eastAsia="Calibri" w:hAnsi="Arial" w:cs="Arial"/>
          <w:lang w:val="es-UY"/>
        </w:rPr>
        <w:t>alcanzados hasta el momento</w:t>
      </w:r>
      <w:r w:rsidRPr="00C1403E">
        <w:rPr>
          <w:rFonts w:ascii="Arial" w:eastAsia="Calibri" w:hAnsi="Arial" w:cs="Arial"/>
          <w:lang w:val="es-UY"/>
        </w:rPr>
        <w:t>, constatando una transición ordenada</w:t>
      </w:r>
      <w:r w:rsidR="00445F0B">
        <w:rPr>
          <w:rFonts w:ascii="Arial" w:eastAsia="Calibri" w:hAnsi="Arial" w:cs="Arial"/>
          <w:lang w:val="es-UY"/>
        </w:rPr>
        <w:t xml:space="preserve"> en las emisiones de los títulos públicos a lo largo de la curva de plazos, </w:t>
      </w:r>
      <w:r w:rsidR="004F50B9">
        <w:rPr>
          <w:rFonts w:ascii="Arial" w:eastAsia="Calibri" w:hAnsi="Arial" w:cs="Arial"/>
          <w:lang w:val="es-UY"/>
        </w:rPr>
        <w:t>atendiendo a</w:t>
      </w:r>
      <w:r w:rsidRPr="00C1403E">
        <w:rPr>
          <w:rFonts w:ascii="Arial" w:eastAsia="Calibri" w:hAnsi="Arial" w:cs="Arial"/>
          <w:lang w:val="es-UY"/>
        </w:rPr>
        <w:t xml:space="preserve"> las condiciones de liquidez del sistema financiero</w:t>
      </w:r>
      <w:r w:rsidR="00445F0B">
        <w:rPr>
          <w:rFonts w:ascii="Arial" w:eastAsia="Calibri" w:hAnsi="Arial" w:cs="Arial"/>
          <w:lang w:val="es-UY"/>
        </w:rPr>
        <w:t xml:space="preserve"> y la demanda de los distintos inversores. </w:t>
      </w:r>
      <w:r w:rsidR="001044B1">
        <w:rPr>
          <w:rFonts w:ascii="Arial" w:eastAsia="Calibri" w:hAnsi="Arial" w:cs="Arial"/>
          <w:lang w:val="es-UY"/>
        </w:rPr>
        <w:t>En función de ello</w:t>
      </w:r>
      <w:r w:rsidR="00782E60">
        <w:rPr>
          <w:rFonts w:ascii="Arial" w:eastAsia="Calibri" w:hAnsi="Arial" w:cs="Arial"/>
          <w:lang w:val="es-UY"/>
        </w:rPr>
        <w:t xml:space="preserve">, se </w:t>
      </w:r>
      <w:r w:rsidR="001044B1">
        <w:rPr>
          <w:rFonts w:ascii="Arial" w:eastAsia="Calibri" w:hAnsi="Arial" w:cs="Arial"/>
          <w:lang w:val="es-UY"/>
        </w:rPr>
        <w:t xml:space="preserve">acordó continuar profundizando </w:t>
      </w:r>
      <w:r w:rsidR="001044B1">
        <w:rPr>
          <w:rFonts w:ascii="Arial" w:eastAsia="Times New Roman" w:hAnsi="Arial" w:cs="Arial"/>
          <w:bCs/>
          <w:lang w:val="es-UY" w:eastAsia="es-UY"/>
        </w:rPr>
        <w:t>esta estrategia</w:t>
      </w:r>
      <w:r w:rsidR="00CC3A62">
        <w:rPr>
          <w:rFonts w:ascii="Arial" w:eastAsia="Times New Roman" w:hAnsi="Arial" w:cs="Arial"/>
          <w:bCs/>
          <w:lang w:val="es-UY" w:eastAsia="es-UY"/>
        </w:rPr>
        <w:t xml:space="preserve"> (sujeto a condiciones de mercado)</w:t>
      </w:r>
      <w:r w:rsidR="001044B1">
        <w:rPr>
          <w:rFonts w:ascii="Arial" w:eastAsia="Times New Roman" w:hAnsi="Arial" w:cs="Arial"/>
          <w:bCs/>
          <w:lang w:val="es-UY" w:eastAsia="es-UY"/>
        </w:rPr>
        <w:t xml:space="preserve">, </w:t>
      </w:r>
      <w:r w:rsidR="00445F0B">
        <w:rPr>
          <w:rFonts w:ascii="Arial" w:eastAsia="Times New Roman" w:hAnsi="Arial" w:cs="Arial"/>
          <w:bCs/>
          <w:lang w:val="es-UY" w:eastAsia="es-UY"/>
        </w:rPr>
        <w:t xml:space="preserve">tanto </w:t>
      </w:r>
      <w:r w:rsidR="00782E60">
        <w:rPr>
          <w:rFonts w:ascii="Arial" w:eastAsia="Times New Roman" w:hAnsi="Arial" w:cs="Arial"/>
          <w:bCs/>
          <w:lang w:val="es-UY" w:eastAsia="es-UY"/>
        </w:rPr>
        <w:t>para cumplir con los objetivo</w:t>
      </w:r>
      <w:r w:rsidR="000F6530">
        <w:rPr>
          <w:rFonts w:ascii="Arial" w:eastAsia="Times New Roman" w:hAnsi="Arial" w:cs="Arial"/>
          <w:bCs/>
          <w:lang w:val="es-UY" w:eastAsia="es-UY"/>
        </w:rPr>
        <w:t xml:space="preserve">s de </w:t>
      </w:r>
      <w:r w:rsidR="00445F0B">
        <w:rPr>
          <w:rFonts w:ascii="Arial" w:eastAsia="Times New Roman" w:hAnsi="Arial" w:cs="Arial"/>
          <w:bCs/>
          <w:lang w:val="es-UY" w:eastAsia="es-UY"/>
        </w:rPr>
        <w:t>financiamiento d</w:t>
      </w:r>
      <w:r w:rsidR="000F6530">
        <w:rPr>
          <w:rFonts w:ascii="Arial" w:eastAsia="Times New Roman" w:hAnsi="Arial" w:cs="Arial"/>
          <w:bCs/>
          <w:lang w:val="es-UY" w:eastAsia="es-UY"/>
        </w:rPr>
        <w:t>el MEF</w:t>
      </w:r>
      <w:r w:rsidR="00445F0B">
        <w:rPr>
          <w:rFonts w:ascii="Arial" w:eastAsia="Times New Roman" w:hAnsi="Arial" w:cs="Arial"/>
          <w:bCs/>
          <w:lang w:val="es-UY" w:eastAsia="es-UY"/>
        </w:rPr>
        <w:t xml:space="preserve"> y como para </w:t>
      </w:r>
      <w:r w:rsidR="00782E60">
        <w:rPr>
          <w:rFonts w:ascii="Arial" w:eastAsia="Times New Roman" w:hAnsi="Arial" w:cs="Arial"/>
          <w:bCs/>
          <w:lang w:val="es-UY" w:eastAsia="es-UY"/>
        </w:rPr>
        <w:t xml:space="preserve">reducir </w:t>
      </w:r>
      <w:r w:rsidR="00F91E3C">
        <w:rPr>
          <w:rFonts w:ascii="Arial" w:eastAsia="Times New Roman" w:hAnsi="Arial" w:cs="Arial"/>
          <w:bCs/>
          <w:lang w:val="es-UY" w:eastAsia="es-UY"/>
        </w:rPr>
        <w:t xml:space="preserve">el </w:t>
      </w:r>
      <w:r w:rsidR="00042384">
        <w:rPr>
          <w:rFonts w:ascii="Arial" w:eastAsia="Times New Roman" w:hAnsi="Arial" w:cs="Arial"/>
          <w:bCs/>
          <w:lang w:val="es-UY" w:eastAsia="es-UY"/>
        </w:rPr>
        <w:t>descalce</w:t>
      </w:r>
      <w:r w:rsidR="00F91E3C">
        <w:rPr>
          <w:rFonts w:ascii="Arial" w:eastAsia="Times New Roman" w:hAnsi="Arial" w:cs="Arial"/>
          <w:bCs/>
          <w:lang w:val="es-UY" w:eastAsia="es-UY"/>
        </w:rPr>
        <w:t xml:space="preserve"> </w:t>
      </w:r>
      <w:r w:rsidR="006F36EF">
        <w:rPr>
          <w:rFonts w:ascii="Arial" w:eastAsia="Times New Roman" w:hAnsi="Arial" w:cs="Arial"/>
          <w:bCs/>
          <w:lang w:val="es-UY" w:eastAsia="es-UY"/>
        </w:rPr>
        <w:t>de monedas</w:t>
      </w:r>
      <w:r w:rsidR="00F91E3C">
        <w:rPr>
          <w:rFonts w:ascii="Arial" w:eastAsia="Times New Roman" w:hAnsi="Arial" w:cs="Arial"/>
          <w:bCs/>
          <w:lang w:val="es-UY" w:eastAsia="es-UY"/>
        </w:rPr>
        <w:t xml:space="preserve"> </w:t>
      </w:r>
      <w:r w:rsidR="00042384">
        <w:rPr>
          <w:rFonts w:ascii="Arial" w:eastAsia="Times New Roman" w:hAnsi="Arial" w:cs="Arial"/>
          <w:bCs/>
          <w:lang w:val="es-UY" w:eastAsia="es-UY"/>
        </w:rPr>
        <w:t xml:space="preserve">en </w:t>
      </w:r>
      <w:r w:rsidR="001044B1">
        <w:rPr>
          <w:rFonts w:ascii="Arial" w:eastAsia="Times New Roman" w:hAnsi="Arial" w:cs="Arial"/>
          <w:bCs/>
          <w:lang w:val="es-UY" w:eastAsia="es-UY"/>
        </w:rPr>
        <w:t xml:space="preserve">la </w:t>
      </w:r>
      <w:r w:rsidR="004F50B9">
        <w:rPr>
          <w:rFonts w:ascii="Arial" w:eastAsia="Times New Roman" w:hAnsi="Arial" w:cs="Arial"/>
          <w:bCs/>
          <w:lang w:val="es-UY" w:eastAsia="es-UY"/>
        </w:rPr>
        <w:t xml:space="preserve">hoja de </w:t>
      </w:r>
      <w:r w:rsidR="00782E60">
        <w:rPr>
          <w:rFonts w:ascii="Arial" w:eastAsia="Times New Roman" w:hAnsi="Arial" w:cs="Arial"/>
          <w:bCs/>
          <w:lang w:val="es-UY" w:eastAsia="es-UY"/>
        </w:rPr>
        <w:t>balance del BCU.</w:t>
      </w:r>
    </w:p>
    <w:p w14:paraId="56C950FD" w14:textId="03E472FD" w:rsidR="0027218A" w:rsidRPr="0027218A" w:rsidRDefault="0027218A" w:rsidP="003F63F5">
      <w:pPr>
        <w:shd w:val="clear" w:color="auto" w:fill="FFFFFF"/>
        <w:spacing w:after="0" w:line="360" w:lineRule="auto"/>
        <w:jc w:val="both"/>
        <w:outlineLvl w:val="1"/>
        <w:rPr>
          <w:rFonts w:ascii="Arial" w:eastAsia="Times New Roman" w:hAnsi="Arial" w:cs="Arial"/>
          <w:bCs/>
          <w:lang w:val="es-ES" w:eastAsia="es-UY"/>
        </w:rPr>
      </w:pPr>
      <w:r w:rsidRPr="0027218A">
        <w:rPr>
          <w:rFonts w:ascii="Arial" w:eastAsia="Times New Roman" w:hAnsi="Arial" w:cs="Arial"/>
          <w:bCs/>
          <w:lang w:val="es-ES" w:eastAsia="es-UY"/>
        </w:rPr>
        <w:t xml:space="preserve">La próxima reunión del Comité tendrá lugar en </w:t>
      </w:r>
      <w:r w:rsidR="00617118">
        <w:rPr>
          <w:rFonts w:ascii="Arial" w:eastAsia="Times New Roman" w:hAnsi="Arial" w:cs="Arial"/>
          <w:bCs/>
          <w:lang w:val="es-ES" w:eastAsia="es-UY"/>
        </w:rPr>
        <w:t>diciembre</w:t>
      </w:r>
      <w:r w:rsidRPr="0027218A">
        <w:rPr>
          <w:rFonts w:ascii="Arial" w:eastAsia="Times New Roman" w:hAnsi="Arial" w:cs="Arial"/>
          <w:bCs/>
          <w:lang w:val="es-ES" w:eastAsia="es-UY"/>
        </w:rPr>
        <w:t xml:space="preserve"> de 2025.</w:t>
      </w:r>
    </w:p>
    <w:sectPr w:rsidR="0027218A" w:rsidRPr="0027218A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pitch w:val="fixed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32F5CF1"/>
    <w:multiLevelType w:val="hybridMultilevel"/>
    <w:tmpl w:val="EB72098A"/>
    <w:lvl w:ilvl="0" w:tplc="3E92D43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E650C4"/>
    <w:multiLevelType w:val="hybridMultilevel"/>
    <w:tmpl w:val="1EA29BF0"/>
    <w:lvl w:ilvl="0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9615796"/>
    <w:multiLevelType w:val="hybridMultilevel"/>
    <w:tmpl w:val="B2A03C9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11"/>
  </w:num>
  <w:num w:numId="11">
    <w:abstractNumId w:val="10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trackRevisions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730"/>
    <w:rsid w:val="00006A4C"/>
    <w:rsid w:val="00016B5A"/>
    <w:rsid w:val="00024599"/>
    <w:rsid w:val="00034616"/>
    <w:rsid w:val="00042384"/>
    <w:rsid w:val="0006063C"/>
    <w:rsid w:val="000E2865"/>
    <w:rsid w:val="000F6530"/>
    <w:rsid w:val="001044B1"/>
    <w:rsid w:val="00143B09"/>
    <w:rsid w:val="0015074B"/>
    <w:rsid w:val="001836D3"/>
    <w:rsid w:val="001959C2"/>
    <w:rsid w:val="001A1BB9"/>
    <w:rsid w:val="0021444A"/>
    <w:rsid w:val="0022055C"/>
    <w:rsid w:val="00222110"/>
    <w:rsid w:val="002529E5"/>
    <w:rsid w:val="00256975"/>
    <w:rsid w:val="00272109"/>
    <w:rsid w:val="0027218A"/>
    <w:rsid w:val="002724AA"/>
    <w:rsid w:val="00284C6C"/>
    <w:rsid w:val="0029639D"/>
    <w:rsid w:val="002963FD"/>
    <w:rsid w:val="002F0C70"/>
    <w:rsid w:val="00326F90"/>
    <w:rsid w:val="003300A0"/>
    <w:rsid w:val="0035598A"/>
    <w:rsid w:val="003A4F0A"/>
    <w:rsid w:val="003B6A59"/>
    <w:rsid w:val="003F2158"/>
    <w:rsid w:val="003F63F5"/>
    <w:rsid w:val="0040025A"/>
    <w:rsid w:val="004249DF"/>
    <w:rsid w:val="00445F0B"/>
    <w:rsid w:val="0045797C"/>
    <w:rsid w:val="00466A26"/>
    <w:rsid w:val="00467BB1"/>
    <w:rsid w:val="004915D4"/>
    <w:rsid w:val="004C2C08"/>
    <w:rsid w:val="004E00A8"/>
    <w:rsid w:val="004F50B9"/>
    <w:rsid w:val="005131F5"/>
    <w:rsid w:val="0052079D"/>
    <w:rsid w:val="00556AFF"/>
    <w:rsid w:val="00573671"/>
    <w:rsid w:val="00596B26"/>
    <w:rsid w:val="005B251A"/>
    <w:rsid w:val="005C4ECB"/>
    <w:rsid w:val="005F04C2"/>
    <w:rsid w:val="005F772D"/>
    <w:rsid w:val="00617118"/>
    <w:rsid w:val="00623480"/>
    <w:rsid w:val="00661D24"/>
    <w:rsid w:val="006762EC"/>
    <w:rsid w:val="006B06AA"/>
    <w:rsid w:val="006E73B1"/>
    <w:rsid w:val="006F082E"/>
    <w:rsid w:val="006F36EF"/>
    <w:rsid w:val="00775414"/>
    <w:rsid w:val="00782E60"/>
    <w:rsid w:val="007B2CF2"/>
    <w:rsid w:val="007B6FAA"/>
    <w:rsid w:val="007E651F"/>
    <w:rsid w:val="00857F5E"/>
    <w:rsid w:val="00865FAB"/>
    <w:rsid w:val="00873A6C"/>
    <w:rsid w:val="00891A39"/>
    <w:rsid w:val="008A39F2"/>
    <w:rsid w:val="008A456C"/>
    <w:rsid w:val="008B08A8"/>
    <w:rsid w:val="008C3CC3"/>
    <w:rsid w:val="0096554E"/>
    <w:rsid w:val="0097140E"/>
    <w:rsid w:val="009851BE"/>
    <w:rsid w:val="009B1087"/>
    <w:rsid w:val="009B5A21"/>
    <w:rsid w:val="00A36A1C"/>
    <w:rsid w:val="00A66343"/>
    <w:rsid w:val="00A73D22"/>
    <w:rsid w:val="00AA0B2F"/>
    <w:rsid w:val="00AA1D8D"/>
    <w:rsid w:val="00AC178C"/>
    <w:rsid w:val="00AF230A"/>
    <w:rsid w:val="00B47730"/>
    <w:rsid w:val="00B70576"/>
    <w:rsid w:val="00B74A7E"/>
    <w:rsid w:val="00BA033D"/>
    <w:rsid w:val="00BE2E6D"/>
    <w:rsid w:val="00C1403E"/>
    <w:rsid w:val="00C175CC"/>
    <w:rsid w:val="00C230AC"/>
    <w:rsid w:val="00C25223"/>
    <w:rsid w:val="00C64A3F"/>
    <w:rsid w:val="00C77E8F"/>
    <w:rsid w:val="00CA2A0D"/>
    <w:rsid w:val="00CB0664"/>
    <w:rsid w:val="00CB5BA4"/>
    <w:rsid w:val="00CC3A62"/>
    <w:rsid w:val="00CE09F1"/>
    <w:rsid w:val="00CF5A4E"/>
    <w:rsid w:val="00D556A0"/>
    <w:rsid w:val="00DC0FCE"/>
    <w:rsid w:val="00DC4C82"/>
    <w:rsid w:val="00E0138A"/>
    <w:rsid w:val="00E17814"/>
    <w:rsid w:val="00E50F29"/>
    <w:rsid w:val="00E81B0C"/>
    <w:rsid w:val="00E909D5"/>
    <w:rsid w:val="00EA017B"/>
    <w:rsid w:val="00EB53DA"/>
    <w:rsid w:val="00F22B39"/>
    <w:rsid w:val="00F651B2"/>
    <w:rsid w:val="00F91E3C"/>
    <w:rsid w:val="00FA1E54"/>
    <w:rsid w:val="00FB6714"/>
    <w:rsid w:val="00FC693F"/>
    <w:rsid w:val="00FD2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3C3E41"/>
  <w14:defaultImageDpi w14:val="300"/>
  <w15:docId w15:val="{564AA658-58B7-41BB-AD7E-26092099A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BE2E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2E6D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BE2E6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2E6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2E6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2E6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2E6D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E2E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s://www.bcu.gub.uy/Style%20Library/Design_2016/img/logo.png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5073F2B-6B90-410A-8974-51C4FDA38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2006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2353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Antonella DiConza</cp:lastModifiedBy>
  <cp:revision>3</cp:revision>
  <cp:lastPrinted>2025-10-15T19:42:00Z</cp:lastPrinted>
  <dcterms:created xsi:type="dcterms:W3CDTF">2025-10-15T16:19:00Z</dcterms:created>
  <dcterms:modified xsi:type="dcterms:W3CDTF">2025-10-15T19:42:00Z</dcterms:modified>
  <cp:category/>
</cp:coreProperties>
</file>