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F8C93" w14:textId="55479175" w:rsidR="0027218A" w:rsidRPr="00661D24" w:rsidRDefault="00BE2E6D" w:rsidP="00661D24">
      <w:pPr>
        <w:pStyle w:val="Ttulo1"/>
        <w:rPr>
          <w:noProof/>
          <w:lang w:val="es-ES"/>
        </w:rPr>
      </w:pPr>
      <w:r>
        <w:rPr>
          <w:noProof/>
          <w:lang w:val="es-UY" w:eastAsia="es-UY"/>
        </w:rPr>
        <w:drawing>
          <wp:anchor distT="0" distB="0" distL="114300" distR="114300" simplePos="0" relativeHeight="251660288" behindDoc="0" locked="0" layoutInCell="1" allowOverlap="1" wp14:anchorId="341A7EB9" wp14:editId="1CF1759F">
            <wp:simplePos x="0" y="0"/>
            <wp:positionH relativeFrom="column">
              <wp:posOffset>3187700</wp:posOffset>
            </wp:positionH>
            <wp:positionV relativeFrom="paragraph">
              <wp:posOffset>127000</wp:posOffset>
            </wp:positionV>
            <wp:extent cx="2813050" cy="794385"/>
            <wp:effectExtent l="0" t="0" r="0"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6"/>
                    <a:srcRect t="16086" b="16890"/>
                    <a:stretch/>
                  </pic:blipFill>
                  <pic:spPr bwMode="auto">
                    <a:xfrm>
                      <a:off x="0" y="0"/>
                      <a:ext cx="2813050" cy="7943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61D24" w:rsidRPr="0027218A">
        <w:rPr>
          <w:noProof/>
          <w:lang w:val="es-UY" w:eastAsia="es-UY"/>
        </w:rPr>
        <w:drawing>
          <wp:anchor distT="0" distB="0" distL="114300" distR="114300" simplePos="0" relativeHeight="251658240" behindDoc="0" locked="0" layoutInCell="1" allowOverlap="1" wp14:anchorId="7F7F5288" wp14:editId="70F47039">
            <wp:simplePos x="0" y="0"/>
            <wp:positionH relativeFrom="column">
              <wp:posOffset>114300</wp:posOffset>
            </wp:positionH>
            <wp:positionV relativeFrom="paragraph">
              <wp:posOffset>184150</wp:posOffset>
            </wp:positionV>
            <wp:extent cx="2695575" cy="771525"/>
            <wp:effectExtent l="0" t="0" r="0" b="0"/>
            <wp:wrapSquare wrapText="bothSides"/>
            <wp:docPr id="4" name="ctl00_x5700f3b5d14c480db478e842bd61f803" descr="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x5700f3b5d14c480db478e842bd61f803" descr="Portada"/>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2695575" cy="771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F916BC" w14:textId="55D6AE75" w:rsidR="00661D24" w:rsidRPr="002559CE" w:rsidRDefault="002559CE" w:rsidP="00661D24">
      <w:pPr>
        <w:spacing w:after="0" w:line="240" w:lineRule="auto"/>
        <w:jc w:val="center"/>
        <w:outlineLvl w:val="1"/>
        <w:rPr>
          <w:rFonts w:ascii="Arial" w:eastAsia="Times New Roman" w:hAnsi="Arial" w:cs="Arial"/>
          <w:b/>
          <w:bCs/>
          <w:sz w:val="24"/>
          <w:szCs w:val="24"/>
          <w:lang w:eastAsia="es-UY"/>
        </w:rPr>
      </w:pPr>
      <w:r w:rsidRPr="002559CE">
        <w:rPr>
          <w:rFonts w:ascii="Arial" w:hAnsi="Arial" w:cs="Arial"/>
          <w:b/>
          <w:bCs/>
          <w:sz w:val="24"/>
          <w:szCs w:val="24"/>
        </w:rPr>
        <w:t>Press Release of the Public Debt Coordination Committee (PDCC)</w:t>
      </w:r>
    </w:p>
    <w:p w14:paraId="2D555DE9" w14:textId="77777777" w:rsidR="002559CE" w:rsidRDefault="002559CE" w:rsidP="003F63F5">
      <w:pPr>
        <w:spacing w:line="360" w:lineRule="auto"/>
        <w:jc w:val="both"/>
        <w:rPr>
          <w:rFonts w:ascii="Arial" w:eastAsia="Calibri" w:hAnsi="Arial" w:cs="Arial"/>
          <w:lang w:val="es-UY"/>
        </w:rPr>
      </w:pPr>
    </w:p>
    <w:p w14:paraId="7C769231" w14:textId="34F9B45F" w:rsidR="002559CE" w:rsidRPr="002559CE" w:rsidRDefault="002559CE" w:rsidP="002559CE">
      <w:pPr>
        <w:pStyle w:val="Listaconvietas"/>
        <w:numPr>
          <w:ilvl w:val="0"/>
          <w:numId w:val="0"/>
        </w:numPr>
        <w:ind w:left="360"/>
        <w:rPr>
          <w:rFonts w:ascii="Arial" w:eastAsia="Calibri" w:hAnsi="Arial" w:cs="Arial"/>
        </w:rPr>
      </w:pPr>
      <w:r w:rsidRPr="002559CE">
        <w:rPr>
          <w:rFonts w:ascii="Arial" w:eastAsia="Calibri" w:hAnsi="Arial" w:cs="Arial"/>
        </w:rPr>
        <w:t xml:space="preserve">On July 4, 2025, the Public Debt Coordination Committee (PDCC), </w:t>
      </w:r>
      <w:r>
        <w:rPr>
          <w:rFonts w:ascii="Arial" w:eastAsia="Calibri" w:hAnsi="Arial" w:cs="Arial"/>
        </w:rPr>
        <w:t>comprising the Ministry of Economy and Finance (MEF) and the Central Bank of Uruguay (BCU), convened</w:t>
      </w:r>
      <w:r w:rsidRPr="002559CE">
        <w:rPr>
          <w:rFonts w:ascii="Arial" w:eastAsia="Calibri" w:hAnsi="Arial" w:cs="Arial"/>
        </w:rPr>
        <w:t xml:space="preserve"> a meeting.</w:t>
      </w:r>
    </w:p>
    <w:p w14:paraId="6BD34DEC" w14:textId="77777777" w:rsidR="002559CE" w:rsidRPr="002559CE" w:rsidRDefault="002559CE" w:rsidP="002559CE">
      <w:pPr>
        <w:pStyle w:val="Listaconvietas"/>
        <w:numPr>
          <w:ilvl w:val="0"/>
          <w:numId w:val="0"/>
        </w:numPr>
        <w:ind w:left="360"/>
        <w:rPr>
          <w:rFonts w:ascii="Arial" w:eastAsia="Calibri" w:hAnsi="Arial" w:cs="Arial"/>
        </w:rPr>
      </w:pPr>
    </w:p>
    <w:p w14:paraId="0EE91A51" w14:textId="77777777" w:rsidR="002559CE" w:rsidRPr="002559CE" w:rsidRDefault="002559CE" w:rsidP="002559CE">
      <w:pPr>
        <w:pStyle w:val="Listaconvietas"/>
        <w:numPr>
          <w:ilvl w:val="0"/>
          <w:numId w:val="0"/>
        </w:numPr>
        <w:ind w:left="360"/>
        <w:rPr>
          <w:rFonts w:ascii="Arial" w:eastAsia="Times New Roman" w:hAnsi="Arial" w:cs="Arial"/>
          <w:bCs/>
          <w:lang w:eastAsia="es-UY"/>
        </w:rPr>
      </w:pPr>
      <w:r w:rsidRPr="002559CE">
        <w:rPr>
          <w:rFonts w:ascii="Arial" w:eastAsia="Calibri" w:hAnsi="Arial" w:cs="Arial"/>
        </w:rPr>
        <w:t>During the session, the following topics were discussed:</w:t>
      </w:r>
    </w:p>
    <w:p w14:paraId="566CF4DF" w14:textId="77777777" w:rsidR="002559CE" w:rsidRPr="002559CE" w:rsidRDefault="002559CE" w:rsidP="002559CE">
      <w:pPr>
        <w:pStyle w:val="Listaconvietas"/>
        <w:numPr>
          <w:ilvl w:val="0"/>
          <w:numId w:val="0"/>
        </w:numPr>
        <w:ind w:left="360"/>
        <w:rPr>
          <w:rFonts w:ascii="Arial" w:eastAsia="Times New Roman" w:hAnsi="Arial" w:cs="Arial"/>
          <w:bCs/>
          <w:lang w:eastAsia="es-UY"/>
        </w:rPr>
      </w:pPr>
    </w:p>
    <w:p w14:paraId="1AE1E83F" w14:textId="6FD04687" w:rsidR="008C3CC3" w:rsidRDefault="002559CE" w:rsidP="008C3CC3">
      <w:pPr>
        <w:pStyle w:val="Listaconvietas"/>
        <w:numPr>
          <w:ilvl w:val="0"/>
          <w:numId w:val="0"/>
        </w:numPr>
        <w:spacing w:line="360" w:lineRule="auto"/>
        <w:ind w:left="360"/>
        <w:jc w:val="both"/>
        <w:rPr>
          <w:rFonts w:ascii="Arial" w:hAnsi="Arial" w:cs="Arial"/>
          <w:b/>
          <w:bCs/>
          <w:sz w:val="24"/>
          <w:szCs w:val="24"/>
        </w:rPr>
      </w:pPr>
      <w:r w:rsidRPr="002559CE">
        <w:rPr>
          <w:rFonts w:ascii="Arial" w:hAnsi="Arial" w:cs="Arial"/>
          <w:b/>
          <w:bCs/>
          <w:sz w:val="24"/>
          <w:szCs w:val="24"/>
        </w:rPr>
        <w:t>Assessment of the sovereign bond issuance in the Swiss market</w:t>
      </w:r>
    </w:p>
    <w:p w14:paraId="242E8E7F" w14:textId="77777777" w:rsidR="002559CE" w:rsidRPr="002559CE" w:rsidRDefault="002559CE" w:rsidP="008C3CC3">
      <w:pPr>
        <w:pStyle w:val="Listaconvietas"/>
        <w:numPr>
          <w:ilvl w:val="0"/>
          <w:numId w:val="0"/>
        </w:numPr>
        <w:spacing w:line="360" w:lineRule="auto"/>
        <w:ind w:left="360"/>
        <w:jc w:val="both"/>
        <w:rPr>
          <w:rFonts w:ascii="Arial" w:hAnsi="Arial" w:cs="Arial"/>
          <w:b/>
          <w:bCs/>
          <w:sz w:val="24"/>
          <w:szCs w:val="24"/>
        </w:rPr>
      </w:pPr>
    </w:p>
    <w:p w14:paraId="17CA64E1" w14:textId="22AA4112" w:rsidR="00E0138A" w:rsidRPr="002559CE" w:rsidRDefault="002559CE" w:rsidP="003F63F5">
      <w:pPr>
        <w:pStyle w:val="Listaconvietas"/>
        <w:numPr>
          <w:ilvl w:val="0"/>
          <w:numId w:val="0"/>
        </w:numPr>
        <w:spacing w:line="360" w:lineRule="auto"/>
        <w:ind w:left="360"/>
        <w:jc w:val="both"/>
        <w:rPr>
          <w:rFonts w:ascii="Arial" w:eastAsia="Calibri" w:hAnsi="Arial" w:cs="Arial"/>
        </w:rPr>
      </w:pPr>
      <w:r w:rsidRPr="002559CE">
        <w:rPr>
          <w:rFonts w:ascii="Arial" w:eastAsia="Calibri" w:hAnsi="Arial" w:cs="Arial"/>
        </w:rPr>
        <w:t>The Committee highlighted the results of the recent issuance carried out by the Government in the Swiss market, consisting of two global bonds totaling CHF 320 million (equivalent to USD 400 million), with maturities of 5 and 10 years. The discussion underscored the advantages of opening a new funding source, which contributes to further diversifying the investor base and enhancing financial flexibility for cost optimization and liability management, alongside traditional international debt markets (in local currency and US dollars).</w:t>
      </w:r>
      <w:r w:rsidR="004C2C08" w:rsidRPr="002559CE">
        <w:rPr>
          <w:rFonts w:ascii="Arial" w:eastAsia="Calibri" w:hAnsi="Arial" w:cs="Arial"/>
        </w:rPr>
        <w:t xml:space="preserve"> </w:t>
      </w:r>
    </w:p>
    <w:p w14:paraId="4BFD8556" w14:textId="77777777" w:rsidR="00AC178C" w:rsidRPr="002559CE" w:rsidRDefault="00AC178C" w:rsidP="003F63F5">
      <w:pPr>
        <w:pStyle w:val="Listaconvietas"/>
        <w:numPr>
          <w:ilvl w:val="0"/>
          <w:numId w:val="0"/>
        </w:numPr>
        <w:spacing w:line="360" w:lineRule="auto"/>
        <w:ind w:left="360"/>
        <w:jc w:val="both"/>
        <w:rPr>
          <w:rFonts w:ascii="Arial" w:eastAsia="Times New Roman" w:hAnsi="Arial" w:cs="Arial"/>
          <w:bCs/>
          <w:lang w:eastAsia="es-UY"/>
        </w:rPr>
      </w:pPr>
    </w:p>
    <w:p w14:paraId="63437A22" w14:textId="7D17E729" w:rsidR="008C3CC3" w:rsidRDefault="002559CE" w:rsidP="003F63F5">
      <w:pPr>
        <w:pStyle w:val="Listaconvietas"/>
        <w:numPr>
          <w:ilvl w:val="0"/>
          <w:numId w:val="0"/>
        </w:numPr>
        <w:spacing w:line="360" w:lineRule="auto"/>
        <w:ind w:left="360"/>
        <w:jc w:val="both"/>
        <w:rPr>
          <w:rFonts w:ascii="Arial" w:hAnsi="Arial" w:cs="Arial"/>
          <w:b/>
          <w:bCs/>
          <w:sz w:val="24"/>
          <w:szCs w:val="24"/>
        </w:rPr>
      </w:pPr>
      <w:r w:rsidRPr="002559CE">
        <w:rPr>
          <w:rFonts w:ascii="Arial" w:hAnsi="Arial" w:cs="Arial"/>
          <w:b/>
          <w:bCs/>
          <w:sz w:val="24"/>
          <w:szCs w:val="24"/>
        </w:rPr>
        <w:t>Review of the local market issuance calendar and guidelines for the second half of 2025</w:t>
      </w:r>
    </w:p>
    <w:p w14:paraId="190C095B" w14:textId="77777777" w:rsidR="002559CE" w:rsidRPr="002559CE" w:rsidRDefault="002559CE" w:rsidP="003F63F5">
      <w:pPr>
        <w:pStyle w:val="Listaconvietas"/>
        <w:numPr>
          <w:ilvl w:val="0"/>
          <w:numId w:val="0"/>
        </w:numPr>
        <w:spacing w:line="360" w:lineRule="auto"/>
        <w:ind w:left="360"/>
        <w:jc w:val="both"/>
        <w:rPr>
          <w:rFonts w:ascii="Arial" w:hAnsi="Arial" w:cs="Arial"/>
          <w:b/>
          <w:bCs/>
          <w:sz w:val="24"/>
          <w:szCs w:val="24"/>
        </w:rPr>
      </w:pPr>
    </w:p>
    <w:p w14:paraId="1ADFA70E" w14:textId="2283FF51" w:rsidR="008C3CC3" w:rsidRPr="002559CE" w:rsidRDefault="002559CE" w:rsidP="008C3CC3">
      <w:pPr>
        <w:pStyle w:val="Listaconvietas"/>
        <w:numPr>
          <w:ilvl w:val="0"/>
          <w:numId w:val="0"/>
        </w:numPr>
        <w:spacing w:line="360" w:lineRule="auto"/>
        <w:ind w:left="360"/>
        <w:jc w:val="both"/>
        <w:rPr>
          <w:rFonts w:ascii="Arial" w:eastAsia="Calibri" w:hAnsi="Arial" w:cs="Arial"/>
        </w:rPr>
      </w:pPr>
      <w:r w:rsidRPr="002559CE">
        <w:rPr>
          <w:rFonts w:ascii="Arial" w:eastAsia="Calibri" w:hAnsi="Arial" w:cs="Arial"/>
        </w:rPr>
        <w:t>The Committee reviewed the outcomes of the issuance program for the first half of the year, highlighting the strong demand across all three types of local currency instruments. The meeting also emphasized the use of the integration mechanism with Central Bank Monetary Regulation Bills, which has facilitated progress in asset and liability management across the public sector. In particular, during the first half of the year, 44% of total Treasury Note issuances by the Government were settled using BCU Bills.</w:t>
      </w:r>
    </w:p>
    <w:p w14:paraId="4BE8F3E9" w14:textId="27F22C39" w:rsidR="00BE2E6D" w:rsidRPr="002559CE" w:rsidRDefault="002559CE" w:rsidP="008C3CC3">
      <w:pPr>
        <w:pStyle w:val="Listaconvietas"/>
        <w:numPr>
          <w:ilvl w:val="0"/>
          <w:numId w:val="0"/>
        </w:numPr>
        <w:spacing w:line="360" w:lineRule="auto"/>
        <w:ind w:left="360"/>
        <w:jc w:val="both"/>
        <w:rPr>
          <w:rFonts w:ascii="Arial" w:eastAsia="Calibri" w:hAnsi="Arial" w:cs="Arial"/>
        </w:rPr>
      </w:pPr>
      <w:r w:rsidRPr="002559CE">
        <w:rPr>
          <w:rFonts w:ascii="Arial" w:eastAsia="Calibri" w:hAnsi="Arial" w:cs="Arial"/>
        </w:rPr>
        <w:lastRenderedPageBreak/>
        <w:t xml:space="preserve">The MEF shared and discussed with the BCU the </w:t>
      </w:r>
      <w:r>
        <w:rPr>
          <w:rFonts w:ascii="Arial" w:eastAsia="Calibri" w:hAnsi="Arial" w:cs="Arial"/>
        </w:rPr>
        <w:t>primary</w:t>
      </w:r>
      <w:r w:rsidRPr="002559CE">
        <w:rPr>
          <w:rFonts w:ascii="Arial" w:eastAsia="Calibri" w:hAnsi="Arial" w:cs="Arial"/>
        </w:rPr>
        <w:t xml:space="preserve"> factors and criteria considered in designing the issuance calendar for the second half of 2025: (</w:t>
      </w:r>
      <w:proofErr w:type="spellStart"/>
      <w:r w:rsidRPr="002559CE">
        <w:rPr>
          <w:rFonts w:ascii="Arial" w:eastAsia="Calibri" w:hAnsi="Arial" w:cs="Arial"/>
        </w:rPr>
        <w:t>i</w:t>
      </w:r>
      <w:proofErr w:type="spellEnd"/>
      <w:r w:rsidRPr="002559CE">
        <w:rPr>
          <w:rFonts w:ascii="Arial" w:eastAsia="Calibri" w:hAnsi="Arial" w:cs="Arial"/>
        </w:rPr>
        <w:t>) the evolution of investor demand (in terms of maturities, amounts, and currencies), (ii) the Government’s financing objectives, (iii) the compression of short-term bill rates and the monetary policy strategy within the consolidation of the inflation-targeting regime, and (iv) the domestic and international context.</w:t>
      </w:r>
      <w:r>
        <w:rPr>
          <w:rFonts w:ascii="Arial" w:eastAsia="Calibri" w:hAnsi="Arial" w:cs="Arial"/>
        </w:rPr>
        <w:t xml:space="preserve"> </w:t>
      </w:r>
      <w:r w:rsidRPr="002559CE">
        <w:rPr>
          <w:rFonts w:ascii="Arial" w:eastAsia="Calibri" w:hAnsi="Arial" w:cs="Arial"/>
        </w:rPr>
        <w:t xml:space="preserve">In this regard, both institutions exchanged views on investors’ preferences for nominal fixed-rate instruments with maturities under five years, in a context of significantly declining inflation and inflation expectations, as well as a weakening of the US dollar globally. Structural aspects, such as the maturing of the pension system and its impact on the demand for government securities, were also discussed. The Committee agreed on the importance of the Government securing financing at rates consistent with progress in reducing inflation and </w:t>
      </w:r>
      <w:r>
        <w:rPr>
          <w:rFonts w:ascii="Arial" w:eastAsia="Calibri" w:hAnsi="Arial" w:cs="Arial"/>
        </w:rPr>
        <w:t>achieving fiscal sustainability</w:t>
      </w:r>
      <w:r w:rsidRPr="002559CE">
        <w:rPr>
          <w:rFonts w:ascii="Arial" w:eastAsia="Calibri" w:hAnsi="Arial" w:cs="Arial"/>
        </w:rPr>
        <w:t>. Additionally, it emphasized the relevance of maintaining financial flexibility within the issuance calendar, including the amounts to be issued, eligible instruments for exchange operations, and auction mechanisms.</w:t>
      </w:r>
    </w:p>
    <w:p w14:paraId="18532A7B" w14:textId="77777777" w:rsidR="002559CE" w:rsidRPr="002559CE" w:rsidRDefault="002559CE" w:rsidP="008C3CC3">
      <w:pPr>
        <w:pStyle w:val="Listaconvietas"/>
        <w:numPr>
          <w:ilvl w:val="0"/>
          <w:numId w:val="0"/>
        </w:numPr>
        <w:spacing w:line="360" w:lineRule="auto"/>
        <w:ind w:left="360"/>
        <w:jc w:val="both"/>
        <w:rPr>
          <w:rFonts w:ascii="Arial" w:eastAsia="Calibri" w:hAnsi="Arial" w:cs="Arial"/>
        </w:rPr>
      </w:pPr>
    </w:p>
    <w:p w14:paraId="52F41055" w14:textId="18CD3EA4" w:rsidR="003300A0" w:rsidRPr="002559CE" w:rsidRDefault="002559CE" w:rsidP="008C3CC3">
      <w:pPr>
        <w:pStyle w:val="Listaconvietas"/>
        <w:numPr>
          <w:ilvl w:val="0"/>
          <w:numId w:val="0"/>
        </w:numPr>
        <w:spacing w:line="360" w:lineRule="auto"/>
        <w:ind w:left="360"/>
        <w:jc w:val="both"/>
        <w:rPr>
          <w:rFonts w:ascii="Arial" w:eastAsia="Calibri" w:hAnsi="Arial" w:cs="Arial"/>
        </w:rPr>
      </w:pPr>
      <w:r w:rsidRPr="002559CE">
        <w:rPr>
          <w:rFonts w:ascii="Arial" w:eastAsia="Calibri" w:hAnsi="Arial" w:cs="Arial"/>
        </w:rPr>
        <w:t xml:space="preserve">The Committee also </w:t>
      </w:r>
      <w:r>
        <w:rPr>
          <w:rFonts w:ascii="Arial" w:eastAsia="Calibri" w:hAnsi="Arial" w:cs="Arial"/>
        </w:rPr>
        <w:t>emphasized the importance of continuing to promote</w:t>
      </w:r>
      <w:r w:rsidRPr="002559CE">
        <w:rPr>
          <w:rFonts w:ascii="Arial" w:eastAsia="Calibri" w:hAnsi="Arial" w:cs="Arial"/>
        </w:rPr>
        <w:t xml:space="preserve"> the dynamics of the primary and secondary markets for local securities through investor presentations jointly organized by both institutions, as well as through the regular dissemination of auction results. These actions aim to enhance transparency and provide analytical inputs for both resident and non-resident investors, thereby fostering greater participation, depth, and efficiency in the local market to the benefit of all participants.</w:t>
      </w:r>
    </w:p>
    <w:p w14:paraId="4BF7BB12" w14:textId="77777777" w:rsidR="002559CE" w:rsidRPr="002559CE" w:rsidRDefault="002559CE" w:rsidP="008C3CC3">
      <w:pPr>
        <w:pStyle w:val="Listaconvietas"/>
        <w:numPr>
          <w:ilvl w:val="0"/>
          <w:numId w:val="0"/>
        </w:numPr>
        <w:spacing w:line="360" w:lineRule="auto"/>
        <w:ind w:left="360"/>
        <w:jc w:val="both"/>
        <w:rPr>
          <w:rFonts w:ascii="Arial" w:eastAsia="Calibri" w:hAnsi="Arial" w:cs="Arial"/>
        </w:rPr>
      </w:pPr>
    </w:p>
    <w:p w14:paraId="27483182" w14:textId="4237A1F3" w:rsidR="002559CE" w:rsidRDefault="002559CE" w:rsidP="002559CE">
      <w:pPr>
        <w:pStyle w:val="Listaconvietas"/>
        <w:numPr>
          <w:ilvl w:val="0"/>
          <w:numId w:val="0"/>
        </w:numPr>
        <w:spacing w:line="360" w:lineRule="auto"/>
        <w:ind w:left="360"/>
        <w:jc w:val="both"/>
        <w:rPr>
          <w:rFonts w:ascii="Arial" w:eastAsia="Calibri" w:hAnsi="Arial" w:cs="Arial"/>
        </w:rPr>
      </w:pPr>
      <w:r w:rsidRPr="002559CE">
        <w:rPr>
          <w:rFonts w:ascii="Arial" w:eastAsia="Calibri" w:hAnsi="Arial" w:cs="Arial"/>
        </w:rPr>
        <w:t xml:space="preserve">Finally, the MEF and BCU agreed on the importance of continuing </w:t>
      </w:r>
      <w:r>
        <w:rPr>
          <w:rFonts w:ascii="Arial" w:eastAsia="Calibri" w:hAnsi="Arial" w:cs="Arial"/>
        </w:rPr>
        <w:t>to jointly monitor local debt markets and coordinate</w:t>
      </w:r>
      <w:r w:rsidRPr="002559CE">
        <w:rPr>
          <w:rFonts w:ascii="Arial" w:eastAsia="Calibri" w:hAnsi="Arial" w:cs="Arial"/>
        </w:rPr>
        <w:t xml:space="preserve"> the implementation of their respective financing and sterilization policies, particularly along the short end of the public debt yield curve</w:t>
      </w:r>
      <w:r>
        <w:rPr>
          <w:rFonts w:ascii="Arial" w:eastAsia="Calibri" w:hAnsi="Arial" w:cs="Arial"/>
        </w:rPr>
        <w:t>.</w:t>
      </w:r>
    </w:p>
    <w:p w14:paraId="72483A60" w14:textId="77777777" w:rsidR="002559CE" w:rsidRDefault="002559CE" w:rsidP="002559CE">
      <w:pPr>
        <w:pStyle w:val="Listaconvietas"/>
        <w:numPr>
          <w:ilvl w:val="0"/>
          <w:numId w:val="0"/>
        </w:numPr>
        <w:spacing w:line="360" w:lineRule="auto"/>
        <w:ind w:left="360"/>
        <w:jc w:val="both"/>
        <w:rPr>
          <w:rFonts w:ascii="Arial" w:eastAsia="Calibri" w:hAnsi="Arial" w:cs="Arial"/>
        </w:rPr>
      </w:pPr>
    </w:p>
    <w:p w14:paraId="56C950FD" w14:textId="17A00E10" w:rsidR="0027218A" w:rsidRPr="002559CE" w:rsidRDefault="002559CE" w:rsidP="002559CE">
      <w:pPr>
        <w:pStyle w:val="Listaconvietas"/>
        <w:numPr>
          <w:ilvl w:val="0"/>
          <w:numId w:val="0"/>
        </w:numPr>
        <w:spacing w:line="360" w:lineRule="auto"/>
        <w:ind w:left="360"/>
        <w:jc w:val="both"/>
        <w:rPr>
          <w:rFonts w:ascii="Arial" w:eastAsia="Calibri" w:hAnsi="Arial" w:cs="Arial"/>
        </w:rPr>
      </w:pPr>
      <w:r w:rsidRPr="002559CE">
        <w:rPr>
          <w:rFonts w:ascii="Arial" w:eastAsia="Calibri" w:hAnsi="Arial" w:cs="Arial"/>
        </w:rPr>
        <w:t>The next meeting of the Committee is scheduled for September 2025</w:t>
      </w:r>
      <w:r>
        <w:t>.</w:t>
      </w:r>
    </w:p>
    <w:sectPr w:rsidR="0027218A" w:rsidRPr="002559CE"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60409020205020404"/>
    <w:charset w:val="00"/>
    <w:family w:val="modern"/>
    <w:pitch w:val="fixed"/>
    <w:sig w:usb0="00000007"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aconnmeros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aconvieta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aconvieta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aconnmeros"/>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49615796"/>
    <w:multiLevelType w:val="hybridMultilevel"/>
    <w:tmpl w:val="B2A03C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7730"/>
    <w:rsid w:val="00006A4C"/>
    <w:rsid w:val="00024599"/>
    <w:rsid w:val="00034616"/>
    <w:rsid w:val="0006063C"/>
    <w:rsid w:val="0015074B"/>
    <w:rsid w:val="001836D3"/>
    <w:rsid w:val="001A1BB9"/>
    <w:rsid w:val="0022055C"/>
    <w:rsid w:val="002559CE"/>
    <w:rsid w:val="0027218A"/>
    <w:rsid w:val="002724AA"/>
    <w:rsid w:val="00284C6C"/>
    <w:rsid w:val="0029639D"/>
    <w:rsid w:val="002F0C70"/>
    <w:rsid w:val="00326F90"/>
    <w:rsid w:val="003300A0"/>
    <w:rsid w:val="003B6A59"/>
    <w:rsid w:val="003F2158"/>
    <w:rsid w:val="003F63F5"/>
    <w:rsid w:val="004249DF"/>
    <w:rsid w:val="0045797C"/>
    <w:rsid w:val="00466A26"/>
    <w:rsid w:val="00467BB1"/>
    <w:rsid w:val="004915D4"/>
    <w:rsid w:val="004C2C08"/>
    <w:rsid w:val="005131F5"/>
    <w:rsid w:val="005F04C2"/>
    <w:rsid w:val="00623480"/>
    <w:rsid w:val="00661D24"/>
    <w:rsid w:val="006762EC"/>
    <w:rsid w:val="006F082E"/>
    <w:rsid w:val="00865FAB"/>
    <w:rsid w:val="00873A6C"/>
    <w:rsid w:val="00891A39"/>
    <w:rsid w:val="008B08A8"/>
    <w:rsid w:val="008C3CC3"/>
    <w:rsid w:val="0096554E"/>
    <w:rsid w:val="0097140E"/>
    <w:rsid w:val="009851BE"/>
    <w:rsid w:val="009B1087"/>
    <w:rsid w:val="009B5A21"/>
    <w:rsid w:val="00A36A1C"/>
    <w:rsid w:val="00AA0B2F"/>
    <w:rsid w:val="00AA1D8D"/>
    <w:rsid w:val="00AC178C"/>
    <w:rsid w:val="00AF230A"/>
    <w:rsid w:val="00B47730"/>
    <w:rsid w:val="00B74A7E"/>
    <w:rsid w:val="00BA033D"/>
    <w:rsid w:val="00BE2E6D"/>
    <w:rsid w:val="00C175CC"/>
    <w:rsid w:val="00C77E8F"/>
    <w:rsid w:val="00CA2A0D"/>
    <w:rsid w:val="00CB0664"/>
    <w:rsid w:val="00CE09F1"/>
    <w:rsid w:val="00DC0FCE"/>
    <w:rsid w:val="00DC4C82"/>
    <w:rsid w:val="00E0138A"/>
    <w:rsid w:val="00E81B0C"/>
    <w:rsid w:val="00E909D5"/>
    <w:rsid w:val="00EB53DA"/>
    <w:rsid w:val="00F651B2"/>
    <w:rsid w:val="00FB671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E3C3E41"/>
  <w14:defaultImageDpi w14:val="300"/>
  <w15:docId w15:val="{564AA658-58B7-41BB-AD7E-26092099A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Ttulo1">
    <w:name w:val="heading 1"/>
    <w:basedOn w:val="Normal"/>
    <w:next w:val="Normal"/>
    <w:link w:val="Ttulo1C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18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8BF"/>
  </w:style>
  <w:style w:type="paragraph" w:styleId="Piedepgina">
    <w:name w:val="footer"/>
    <w:basedOn w:val="Normal"/>
    <w:link w:val="PiedepginaCar"/>
    <w:uiPriority w:val="99"/>
    <w:unhideWhenUsed/>
    <w:rsid w:val="00E618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8BF"/>
  </w:style>
  <w:style w:type="paragraph" w:styleId="Sinespaciado">
    <w:name w:val="No Spacing"/>
    <w:uiPriority w:val="1"/>
    <w:qFormat/>
    <w:rsid w:val="00FC693F"/>
    <w:pPr>
      <w:spacing w:after="0" w:line="240" w:lineRule="auto"/>
    </w:pPr>
  </w:style>
  <w:style w:type="character" w:customStyle="1" w:styleId="Ttulo1Car">
    <w:name w:val="Título 1 Car"/>
    <w:basedOn w:val="Fuentedeprrafopredeter"/>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C693F"/>
    <w:rPr>
      <w:rFonts w:asciiTheme="majorHAnsi" w:eastAsiaTheme="majorEastAsia" w:hAnsiTheme="majorHAnsi" w:cstheme="majorBidi"/>
      <w:b/>
      <w:bCs/>
      <w:color w:val="4F81BD" w:themeColor="accent1"/>
    </w:rPr>
  </w:style>
  <w:style w:type="paragraph" w:styleId="Ttulo">
    <w:name w:val="Title"/>
    <w:basedOn w:val="Normal"/>
    <w:next w:val="Normal"/>
    <w:link w:val="TtuloC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rrafodelista">
    <w:name w:val="List Paragraph"/>
    <w:basedOn w:val="Normal"/>
    <w:uiPriority w:val="34"/>
    <w:qFormat/>
    <w:rsid w:val="00FC693F"/>
    <w:pPr>
      <w:ind w:left="720"/>
      <w:contextualSpacing/>
    </w:pPr>
  </w:style>
  <w:style w:type="paragraph" w:styleId="Textoindependiente">
    <w:name w:val="Body Text"/>
    <w:basedOn w:val="Normal"/>
    <w:link w:val="TextoindependienteCar"/>
    <w:uiPriority w:val="99"/>
    <w:unhideWhenUsed/>
    <w:rsid w:val="00AA1D8D"/>
    <w:pPr>
      <w:spacing w:after="120"/>
    </w:pPr>
  </w:style>
  <w:style w:type="character" w:customStyle="1" w:styleId="TextoindependienteCar">
    <w:name w:val="Texto independiente Car"/>
    <w:basedOn w:val="Fuentedeprrafopredeter"/>
    <w:link w:val="Textoindependiente"/>
    <w:uiPriority w:val="99"/>
    <w:rsid w:val="00AA1D8D"/>
  </w:style>
  <w:style w:type="paragraph" w:styleId="Textoindependiente2">
    <w:name w:val="Body Text 2"/>
    <w:basedOn w:val="Normal"/>
    <w:link w:val="Textoindependiente2Car"/>
    <w:uiPriority w:val="99"/>
    <w:unhideWhenUsed/>
    <w:rsid w:val="00AA1D8D"/>
    <w:pPr>
      <w:spacing w:after="120" w:line="480" w:lineRule="auto"/>
    </w:pPr>
  </w:style>
  <w:style w:type="character" w:customStyle="1" w:styleId="Textoindependiente2Car">
    <w:name w:val="Texto independiente 2 Car"/>
    <w:basedOn w:val="Fuentedeprrafopredeter"/>
    <w:link w:val="Textoindependiente2"/>
    <w:uiPriority w:val="99"/>
    <w:rsid w:val="00AA1D8D"/>
  </w:style>
  <w:style w:type="paragraph" w:styleId="Textoindependiente3">
    <w:name w:val="Body Text 3"/>
    <w:basedOn w:val="Normal"/>
    <w:link w:val="Textoindependiente3Car"/>
    <w:uiPriority w:val="99"/>
    <w:unhideWhenUsed/>
    <w:rsid w:val="00AA1D8D"/>
    <w:pPr>
      <w:spacing w:after="120"/>
    </w:pPr>
    <w:rPr>
      <w:sz w:val="16"/>
      <w:szCs w:val="16"/>
    </w:rPr>
  </w:style>
  <w:style w:type="character" w:customStyle="1" w:styleId="Textoindependiente3Car">
    <w:name w:val="Texto independiente 3 Car"/>
    <w:basedOn w:val="Fuentedeprrafopredeter"/>
    <w:link w:val="Textoindependiente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Listaconvietas">
    <w:name w:val="List Bullet"/>
    <w:basedOn w:val="Normal"/>
    <w:uiPriority w:val="99"/>
    <w:unhideWhenUsed/>
    <w:rsid w:val="00326F90"/>
    <w:pPr>
      <w:numPr>
        <w:numId w:val="1"/>
      </w:numPr>
      <w:contextualSpacing/>
    </w:pPr>
  </w:style>
  <w:style w:type="paragraph" w:styleId="Listaconvietas2">
    <w:name w:val="List Bullet 2"/>
    <w:basedOn w:val="Normal"/>
    <w:uiPriority w:val="99"/>
    <w:unhideWhenUsed/>
    <w:rsid w:val="00326F90"/>
    <w:pPr>
      <w:numPr>
        <w:numId w:val="2"/>
      </w:numPr>
      <w:contextualSpacing/>
    </w:pPr>
  </w:style>
  <w:style w:type="paragraph" w:styleId="Listaconvietas3">
    <w:name w:val="List Bullet 3"/>
    <w:basedOn w:val="Normal"/>
    <w:uiPriority w:val="99"/>
    <w:unhideWhenUsed/>
    <w:rsid w:val="00326F90"/>
    <w:pPr>
      <w:numPr>
        <w:numId w:val="3"/>
      </w:numPr>
      <w:contextualSpacing/>
    </w:pPr>
  </w:style>
  <w:style w:type="paragraph" w:styleId="Listaconnmeros">
    <w:name w:val="List Number"/>
    <w:basedOn w:val="Normal"/>
    <w:uiPriority w:val="99"/>
    <w:unhideWhenUsed/>
    <w:rsid w:val="00326F90"/>
    <w:pPr>
      <w:numPr>
        <w:numId w:val="5"/>
      </w:numPr>
      <w:contextualSpacing/>
    </w:pPr>
  </w:style>
  <w:style w:type="paragraph" w:styleId="Listaconnmeros2">
    <w:name w:val="List Number 2"/>
    <w:basedOn w:val="Normal"/>
    <w:uiPriority w:val="99"/>
    <w:unhideWhenUsed/>
    <w:rsid w:val="0029639D"/>
    <w:pPr>
      <w:numPr>
        <w:numId w:val="6"/>
      </w:numPr>
      <w:contextualSpacing/>
    </w:pPr>
  </w:style>
  <w:style w:type="paragraph" w:styleId="Listaconnmeros3">
    <w:name w:val="List Number 3"/>
    <w:basedOn w:val="Normal"/>
    <w:uiPriority w:val="99"/>
    <w:unhideWhenUsed/>
    <w:rsid w:val="0029639D"/>
    <w:pPr>
      <w:numPr>
        <w:numId w:val="7"/>
      </w:numPr>
      <w:contextualSpacing/>
    </w:pPr>
  </w:style>
  <w:style w:type="paragraph" w:styleId="Continuarlista">
    <w:name w:val="List Continue"/>
    <w:basedOn w:val="Normal"/>
    <w:uiPriority w:val="99"/>
    <w:unhideWhenUsed/>
    <w:rsid w:val="0029639D"/>
    <w:pPr>
      <w:spacing w:after="120"/>
      <w:ind w:left="360"/>
      <w:contextualSpacing/>
    </w:pPr>
  </w:style>
  <w:style w:type="paragraph" w:styleId="Continuarlista2">
    <w:name w:val="List Continue 2"/>
    <w:basedOn w:val="Normal"/>
    <w:uiPriority w:val="99"/>
    <w:unhideWhenUsed/>
    <w:rsid w:val="0029639D"/>
    <w:pPr>
      <w:spacing w:after="120"/>
      <w:ind w:left="720"/>
      <w:contextualSpacing/>
    </w:pPr>
  </w:style>
  <w:style w:type="paragraph" w:styleId="Continuarlista3">
    <w:name w:val="List Continue 3"/>
    <w:basedOn w:val="Normal"/>
    <w:uiPriority w:val="99"/>
    <w:unhideWhenUsed/>
    <w:rsid w:val="0029639D"/>
    <w:pPr>
      <w:spacing w:after="120"/>
      <w:ind w:left="1080"/>
      <w:contextualSpacing/>
    </w:pPr>
  </w:style>
  <w:style w:type="paragraph" w:styleId="Textomacro">
    <w:name w:val="macro"/>
    <w:link w:val="TextomacroC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macroCar">
    <w:name w:val="Texto macro Car"/>
    <w:basedOn w:val="Fuentedeprrafopredeter"/>
    <w:link w:val="Textomacro"/>
    <w:uiPriority w:val="99"/>
    <w:rsid w:val="0029639D"/>
    <w:rPr>
      <w:rFonts w:ascii="Courier" w:hAnsi="Courier"/>
      <w:sz w:val="20"/>
      <w:szCs w:val="20"/>
    </w:rPr>
  </w:style>
  <w:style w:type="paragraph" w:styleId="Cita">
    <w:name w:val="Quote"/>
    <w:basedOn w:val="Normal"/>
    <w:next w:val="Normal"/>
    <w:link w:val="CitaCar"/>
    <w:uiPriority w:val="29"/>
    <w:qFormat/>
    <w:rsid w:val="00FC693F"/>
    <w:rPr>
      <w:i/>
      <w:iCs/>
      <w:color w:val="000000" w:themeColor="text1"/>
    </w:rPr>
  </w:style>
  <w:style w:type="character" w:customStyle="1" w:styleId="CitaCar">
    <w:name w:val="Cita Car"/>
    <w:basedOn w:val="Fuentedeprrafopredeter"/>
    <w:link w:val="Cita"/>
    <w:uiPriority w:val="29"/>
    <w:rsid w:val="00FC693F"/>
    <w:rPr>
      <w:i/>
      <w:iCs/>
      <w:color w:val="000000" w:themeColor="text1"/>
    </w:rPr>
  </w:style>
  <w:style w:type="character" w:customStyle="1" w:styleId="Ttulo4Car">
    <w:name w:val="Título 4 Car"/>
    <w:basedOn w:val="Fuentedeprrafopredeter"/>
    <w:link w:val="Ttulo4"/>
    <w:uiPriority w:val="9"/>
    <w:semiHidden/>
    <w:rsid w:val="00FC693F"/>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Textoennegrita">
    <w:name w:val="Strong"/>
    <w:basedOn w:val="Fuentedeprrafopredeter"/>
    <w:uiPriority w:val="22"/>
    <w:qFormat/>
    <w:rsid w:val="00FC693F"/>
    <w:rPr>
      <w:b/>
      <w:bCs/>
    </w:rPr>
  </w:style>
  <w:style w:type="character" w:styleId="nfasis">
    <w:name w:val="Emphasis"/>
    <w:basedOn w:val="Fuentedeprrafopredeter"/>
    <w:uiPriority w:val="20"/>
    <w:qFormat/>
    <w:rsid w:val="00FC693F"/>
    <w:rPr>
      <w:i/>
      <w:iCs/>
    </w:rPr>
  </w:style>
  <w:style w:type="paragraph" w:styleId="Citadestacada">
    <w:name w:val="Intense Quote"/>
    <w:basedOn w:val="Normal"/>
    <w:next w:val="Normal"/>
    <w:link w:val="CitadestacadaC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FC693F"/>
    <w:rPr>
      <w:b/>
      <w:bCs/>
      <w:i/>
      <w:iCs/>
      <w:color w:val="4F81BD" w:themeColor="accent1"/>
    </w:rPr>
  </w:style>
  <w:style w:type="character" w:styleId="nfasissutil">
    <w:name w:val="Subtle Emphasis"/>
    <w:basedOn w:val="Fuentedeprrafopredeter"/>
    <w:uiPriority w:val="19"/>
    <w:qFormat/>
    <w:rsid w:val="00FC693F"/>
    <w:rPr>
      <w:i/>
      <w:iCs/>
      <w:color w:val="808080" w:themeColor="text1" w:themeTint="7F"/>
    </w:rPr>
  </w:style>
  <w:style w:type="character" w:styleId="nfasisintenso">
    <w:name w:val="Intense Emphasis"/>
    <w:basedOn w:val="Fuentedeprrafopredeter"/>
    <w:uiPriority w:val="21"/>
    <w:qFormat/>
    <w:rsid w:val="00FC693F"/>
    <w:rPr>
      <w:b/>
      <w:bCs/>
      <w:i/>
      <w:iCs/>
      <w:color w:val="4F81BD" w:themeColor="accent1"/>
    </w:rPr>
  </w:style>
  <w:style w:type="character" w:styleId="Referenciasutil">
    <w:name w:val="Subtle Reference"/>
    <w:basedOn w:val="Fuentedeprrafopredeter"/>
    <w:uiPriority w:val="31"/>
    <w:qFormat/>
    <w:rsid w:val="00FC693F"/>
    <w:rPr>
      <w:smallCaps/>
      <w:color w:val="C0504D" w:themeColor="accent2"/>
      <w:u w:val="single"/>
    </w:rPr>
  </w:style>
  <w:style w:type="character" w:styleId="Referenciaintensa">
    <w:name w:val="Intense Reference"/>
    <w:basedOn w:val="Fuentedeprrafopredeter"/>
    <w:uiPriority w:val="32"/>
    <w:qFormat/>
    <w:rsid w:val="00FC693F"/>
    <w:rPr>
      <w:b/>
      <w:bCs/>
      <w:smallCaps/>
      <w:color w:val="C0504D" w:themeColor="accent2"/>
      <w:spacing w:val="5"/>
      <w:u w:val="single"/>
    </w:rPr>
  </w:style>
  <w:style w:type="character" w:styleId="Ttulodellibro">
    <w:name w:val="Book Title"/>
    <w:basedOn w:val="Fuentedeprrafopredeter"/>
    <w:uiPriority w:val="33"/>
    <w:qFormat/>
    <w:rsid w:val="00FC693F"/>
    <w:rPr>
      <w:b/>
      <w:bCs/>
      <w:smallCaps/>
      <w:spacing w:val="5"/>
    </w:rPr>
  </w:style>
  <w:style w:type="paragraph" w:styleId="TtuloTDC">
    <w:name w:val="TOC Heading"/>
    <w:basedOn w:val="Ttulo1"/>
    <w:next w:val="Normal"/>
    <w:uiPriority w:val="39"/>
    <w:semiHidden/>
    <w:unhideWhenUsed/>
    <w:qFormat/>
    <w:rsid w:val="00FC693F"/>
    <w:pPr>
      <w:outlineLvl w:val="9"/>
    </w:pPr>
  </w:style>
  <w:style w:type="table" w:styleId="Tablaconcuadrcula">
    <w:name w:val="Table Grid"/>
    <w:basedOn w:val="Tab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6">
    <w:name w:val="Light Shading Accent 6"/>
    <w:basedOn w:val="Tab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4">
    <w:name w:val="Light List Accent 4"/>
    <w:basedOn w:val="Tab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5">
    <w:name w:val="Light List Accent 5"/>
    <w:basedOn w:val="Tab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
    <w:name w:val="Light Grid"/>
    <w:basedOn w:val="Tab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4">
    <w:name w:val="Light Grid Accent 4"/>
    <w:basedOn w:val="Tab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5">
    <w:name w:val="Light Grid Accent 5"/>
    <w:basedOn w:val="Tab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6">
    <w:name w:val="Light Grid Accent 6"/>
    <w:basedOn w:val="Tab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
    <w:name w:val="Medium Shading 1"/>
    <w:basedOn w:val="Tab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
    <w:name w:val="Medium List 1"/>
    <w:basedOn w:val="Tab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nfasis2">
    <w:name w:val="Medium List 1 Accent 2"/>
    <w:basedOn w:val="Tab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edia1-nfasis3">
    <w:name w:val="Medium List 1 Accent 3"/>
    <w:basedOn w:val="Tab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4">
    <w:name w:val="Medium List 1 Accent 4"/>
    <w:basedOn w:val="Tab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5">
    <w:name w:val="Medium List 1 Accent 5"/>
    <w:basedOn w:val="Tab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edia1-nfasis6">
    <w:name w:val="Medium List 1 Accent 6"/>
    <w:basedOn w:val="Tab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2">
    <w:name w:val="Medium Lis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
    <w:name w:val="Medium Grid 1"/>
    <w:basedOn w:val="Tab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1-nfasis4">
    <w:name w:val="Medium Grid 1 Accent 4"/>
    <w:basedOn w:val="Tab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5">
    <w:name w:val="Medium Grid 1 Accent 5"/>
    <w:basedOn w:val="Tab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2">
    <w:name w:val="Medium Grid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2">
    <w:name w:val="Medium Grid 3 Accent 2"/>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uadrculamedia3-nfasis3">
    <w:name w:val="Medium Grid 3 Accent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3-nfasis4">
    <w:name w:val="Medium Grid 3 Accent 4"/>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uadrculamedia3-nfasis5">
    <w:name w:val="Medium Grid 3 Accent 5"/>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6">
    <w:name w:val="Medium Grid 3 Accent 6"/>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oscura">
    <w:name w:val="Dark List"/>
    <w:basedOn w:val="Tab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oscura-nfasis2">
    <w:name w:val="Dark List Accent 2"/>
    <w:basedOn w:val="Tab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4">
    <w:name w:val="Dark List Accent 4"/>
    <w:basedOn w:val="Tab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5">
    <w:name w:val="Dark List Accent 5"/>
    <w:basedOn w:val="Tab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dovistoso">
    <w:name w:val="Colorful Shading"/>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dovistoso-nfasis4">
    <w:name w:val="Colorful Shading Accent 4"/>
    <w:basedOn w:val="Tab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
    <w:name w:val="Colorful List"/>
    <w:basedOn w:val="Tab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vistosa-nfasis2">
    <w:name w:val="Colorful List Accent 2"/>
    <w:basedOn w:val="Tab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vistosa-nfasis3">
    <w:name w:val="Colorful List Accent 3"/>
    <w:basedOn w:val="Tab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vistosa-nfasis4">
    <w:name w:val="Colorful List Accent 4"/>
    <w:basedOn w:val="Tab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5">
    <w:name w:val="Colorful List Accent 5"/>
    <w:basedOn w:val="Tab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vistosa-nfasis6">
    <w:name w:val="Colorful List Accent 6"/>
    <w:basedOn w:val="Tab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uadrculavistosa">
    <w:name w:val="Colorful Grid"/>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vistosa-nfasis3">
    <w:name w:val="Colorful Grid Accent 3"/>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vistosa-nfasis4">
    <w:name w:val="Colorful Grid Accent 4"/>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5">
    <w:name w:val="Colorful Grid Accent 5"/>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vistosa-nfasis6">
    <w:name w:val="Colorful Grid Accent 6"/>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Textodeglobo">
    <w:name w:val="Balloon Text"/>
    <w:basedOn w:val="Normal"/>
    <w:link w:val="TextodegloboCar"/>
    <w:uiPriority w:val="99"/>
    <w:semiHidden/>
    <w:unhideWhenUsed/>
    <w:rsid w:val="00BE2E6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E2E6D"/>
    <w:rPr>
      <w:rFonts w:ascii="Segoe UI" w:hAnsi="Segoe UI" w:cs="Segoe UI"/>
      <w:sz w:val="18"/>
      <w:szCs w:val="18"/>
    </w:rPr>
  </w:style>
  <w:style w:type="character" w:styleId="Refdecomentario">
    <w:name w:val="annotation reference"/>
    <w:basedOn w:val="Fuentedeprrafopredeter"/>
    <w:uiPriority w:val="99"/>
    <w:semiHidden/>
    <w:unhideWhenUsed/>
    <w:rsid w:val="00BE2E6D"/>
    <w:rPr>
      <w:sz w:val="16"/>
      <w:szCs w:val="16"/>
    </w:rPr>
  </w:style>
  <w:style w:type="paragraph" w:styleId="Textocomentario">
    <w:name w:val="annotation text"/>
    <w:basedOn w:val="Normal"/>
    <w:link w:val="TextocomentarioCar"/>
    <w:uiPriority w:val="99"/>
    <w:semiHidden/>
    <w:unhideWhenUsed/>
    <w:rsid w:val="00BE2E6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E2E6D"/>
    <w:rPr>
      <w:sz w:val="20"/>
      <w:szCs w:val="20"/>
    </w:rPr>
  </w:style>
  <w:style w:type="paragraph" w:styleId="Asuntodelcomentario">
    <w:name w:val="annotation subject"/>
    <w:basedOn w:val="Textocomentario"/>
    <w:next w:val="Textocomentario"/>
    <w:link w:val="AsuntodelcomentarioCar"/>
    <w:uiPriority w:val="99"/>
    <w:semiHidden/>
    <w:unhideWhenUsed/>
    <w:rsid w:val="00BE2E6D"/>
    <w:rPr>
      <w:b/>
      <w:bCs/>
    </w:rPr>
  </w:style>
  <w:style w:type="character" w:customStyle="1" w:styleId="AsuntodelcomentarioCar">
    <w:name w:val="Asunto del comentario Car"/>
    <w:basedOn w:val="TextocomentarioCar"/>
    <w:link w:val="Asuntodelcomentario"/>
    <w:uiPriority w:val="99"/>
    <w:semiHidden/>
    <w:rsid w:val="00BE2E6D"/>
    <w:rPr>
      <w:b/>
      <w:bCs/>
      <w:sz w:val="20"/>
      <w:szCs w:val="20"/>
    </w:rPr>
  </w:style>
  <w:style w:type="paragraph" w:styleId="Revisin">
    <w:name w:val="Revision"/>
    <w:hidden/>
    <w:uiPriority w:val="99"/>
    <w:semiHidden/>
    <w:rsid w:val="00BE2E6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1690414">
      <w:bodyDiv w:val="1"/>
      <w:marLeft w:val="0"/>
      <w:marRight w:val="0"/>
      <w:marTop w:val="0"/>
      <w:marBottom w:val="0"/>
      <w:divBdr>
        <w:top w:val="none" w:sz="0" w:space="0" w:color="auto"/>
        <w:left w:val="none" w:sz="0" w:space="0" w:color="auto"/>
        <w:bottom w:val="none" w:sz="0" w:space="0" w:color="auto"/>
        <w:right w:val="none" w:sz="0" w:space="0" w:color="auto"/>
      </w:divBdr>
    </w:div>
    <w:div w:id="196091143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https://www.bcu.gub.uy/Style%20Library/Design_2016/img/logo.png" TargetMode="Externa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E4B3ED-217F-4C08-80E3-9B51CEABE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531</Words>
  <Characters>3089</Characters>
  <Application>Microsoft Office Word</Application>
  <DocSecurity>0</DocSecurity>
  <Lines>58</Lines>
  <Paragraphs>12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3608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Joaquin Alvarez</cp:lastModifiedBy>
  <cp:revision>3</cp:revision>
  <dcterms:created xsi:type="dcterms:W3CDTF">2025-08-07T15:25:00Z</dcterms:created>
  <dcterms:modified xsi:type="dcterms:W3CDTF">2025-10-31T13:57:00Z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6622ff2f-5362-48d1-be43-5f7ad1b3a198</vt:lpwstr>
  </property>
</Properties>
</file>